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DA84" w14:textId="4B29F00F" w:rsidR="00E006EA" w:rsidRPr="00606E44" w:rsidRDefault="00606E44" w:rsidP="00606E44">
      <w:pPr>
        <w:ind w:firstLineChars="0" w:firstLine="0"/>
        <w:rPr>
          <w:b/>
          <w:bCs/>
        </w:rPr>
      </w:pPr>
      <w:r w:rsidRPr="00606E44">
        <w:rPr>
          <w:rFonts w:hint="eastAsia"/>
          <w:b/>
          <w:bCs/>
        </w:rPr>
        <w:t>投資の羅針盤</w:t>
      </w:r>
    </w:p>
    <w:p w14:paraId="22EB464B" w14:textId="27AF43C7" w:rsidR="00606E44" w:rsidRPr="00606E44" w:rsidRDefault="00606E44" w:rsidP="00606E44">
      <w:pPr>
        <w:ind w:firstLineChars="0" w:firstLine="0"/>
        <w:jc w:val="right"/>
        <w:rPr>
          <w:b/>
          <w:bCs/>
        </w:rPr>
      </w:pPr>
      <w:r w:rsidRPr="00606E44">
        <w:rPr>
          <w:rFonts w:hint="eastAsia"/>
          <w:b/>
          <w:bCs/>
        </w:rPr>
        <w:t>岡部陽二</w:t>
      </w:r>
    </w:p>
    <w:p w14:paraId="09C7E4CA" w14:textId="54A0D566" w:rsidR="00606E44" w:rsidRPr="00606E44" w:rsidRDefault="00606E44" w:rsidP="00606E44">
      <w:pPr>
        <w:ind w:firstLineChars="0" w:firstLine="0"/>
        <w:rPr>
          <w:b/>
          <w:bCs/>
        </w:rPr>
      </w:pPr>
    </w:p>
    <w:p w14:paraId="392796DA" w14:textId="597E20B6" w:rsidR="00606E44" w:rsidRDefault="00606E44" w:rsidP="00606E44">
      <w:pPr>
        <w:ind w:firstLineChars="0" w:firstLine="0"/>
        <w:rPr>
          <w:b/>
          <w:bCs/>
        </w:rPr>
      </w:pPr>
      <w:r w:rsidRPr="00606E44">
        <w:rPr>
          <w:rFonts w:hint="eastAsia"/>
          <w:b/>
          <w:bCs/>
        </w:rPr>
        <w:t>東京国際金融</w:t>
      </w:r>
      <w:r w:rsidR="00FC5E8E">
        <w:rPr>
          <w:rFonts w:hint="eastAsia"/>
          <w:b/>
          <w:bCs/>
        </w:rPr>
        <w:t>センター</w:t>
      </w:r>
      <w:r w:rsidRPr="00606E44">
        <w:rPr>
          <w:rFonts w:hint="eastAsia"/>
          <w:b/>
          <w:bCs/>
        </w:rPr>
        <w:t>構想に望む</w:t>
      </w:r>
    </w:p>
    <w:p w14:paraId="3E4B3E5A" w14:textId="67A3D1BE" w:rsidR="00606E44" w:rsidRDefault="00606E44" w:rsidP="00606E44">
      <w:pPr>
        <w:ind w:firstLineChars="0" w:firstLine="0"/>
        <w:rPr>
          <w:b/>
          <w:bCs/>
        </w:rPr>
      </w:pPr>
    </w:p>
    <w:p w14:paraId="4F00A863" w14:textId="7A95C8A1" w:rsidR="00D75DDA" w:rsidRDefault="00D75DDA" w:rsidP="00606E44">
      <w:pPr>
        <w:ind w:firstLine="240"/>
      </w:pPr>
      <w:r>
        <w:rPr>
          <w:rFonts w:hint="eastAsia"/>
        </w:rPr>
        <w:t>わが国の国際金融都市構想</w:t>
      </w:r>
      <w:r w:rsidR="00FC5E8E">
        <w:rPr>
          <w:rFonts w:hint="eastAsia"/>
        </w:rPr>
        <w:t>(以下、センター構想)</w:t>
      </w:r>
      <w:r>
        <w:rPr>
          <w:rFonts w:hint="eastAsia"/>
        </w:rPr>
        <w:t>は1980年代以降折に触れて話題となり注目されてきた。当初、実現へ向けての動きは鈍かったが、最近では香港の政治的混乱を</w:t>
      </w:r>
      <w:r w:rsidR="00C2637C">
        <w:rPr>
          <w:rFonts w:hint="eastAsia"/>
        </w:rPr>
        <w:t>契機に</w:t>
      </w:r>
      <w:r>
        <w:rPr>
          <w:rFonts w:hint="eastAsia"/>
        </w:rPr>
        <w:t>、</w:t>
      </w:r>
      <w:r w:rsidR="006F22D8">
        <w:rPr>
          <w:rFonts w:hint="eastAsia"/>
        </w:rPr>
        <w:t>政府も</w:t>
      </w:r>
      <w:r>
        <w:rPr>
          <w:rFonts w:hint="eastAsia"/>
        </w:rPr>
        <w:t>アジアにおけるその代替地としての</w:t>
      </w:r>
      <w:r w:rsidR="006F22D8">
        <w:rPr>
          <w:rFonts w:hint="eastAsia"/>
        </w:rPr>
        <w:t>国際金融</w:t>
      </w:r>
      <w:r>
        <w:rPr>
          <w:rFonts w:hint="eastAsia"/>
        </w:rPr>
        <w:t>センター機能集積の施策</w:t>
      </w:r>
      <w:r w:rsidR="00C2637C">
        <w:rPr>
          <w:rFonts w:hint="eastAsia"/>
        </w:rPr>
        <w:t>を掲げている</w:t>
      </w:r>
      <w:r>
        <w:rPr>
          <w:rFonts w:hint="eastAsia"/>
        </w:rPr>
        <w:t>。</w:t>
      </w:r>
    </w:p>
    <w:p w14:paraId="12B25811" w14:textId="2D83938F" w:rsidR="00606E44" w:rsidRDefault="00D75DDA" w:rsidP="00606E44">
      <w:pPr>
        <w:ind w:firstLine="240"/>
      </w:pPr>
      <w:r>
        <w:rPr>
          <w:rFonts w:hint="eastAsia"/>
        </w:rPr>
        <w:t>なか</w:t>
      </w:r>
      <w:r w:rsidR="00606E44">
        <w:rPr>
          <w:rFonts w:hint="eastAsia"/>
        </w:rPr>
        <w:t>でも、東京都は2017年11月に策定した「国際金融都市・東京」構想を具体化すべく専門組織を</w:t>
      </w:r>
      <w:r>
        <w:rPr>
          <w:rFonts w:hint="eastAsia"/>
        </w:rPr>
        <w:t>立ち上げ、</w:t>
      </w:r>
      <w:r w:rsidR="00606E44">
        <w:rPr>
          <w:rFonts w:hint="eastAsia"/>
        </w:rPr>
        <w:t>本年</w:t>
      </w:r>
      <w:r>
        <w:rPr>
          <w:rFonts w:hint="eastAsia"/>
        </w:rPr>
        <w:t>中に</w:t>
      </w:r>
      <w:r w:rsidR="00606E44">
        <w:rPr>
          <w:rFonts w:hint="eastAsia"/>
        </w:rPr>
        <w:t>は</w:t>
      </w:r>
      <w:r>
        <w:rPr>
          <w:rFonts w:hint="eastAsia"/>
        </w:rPr>
        <w:t>この構想を</w:t>
      </w:r>
      <w:r w:rsidR="00606E44">
        <w:rPr>
          <w:rFonts w:hint="eastAsia"/>
        </w:rPr>
        <w:t>バージョンアップして</w:t>
      </w:r>
      <w:r>
        <w:rPr>
          <w:rFonts w:hint="eastAsia"/>
        </w:rPr>
        <w:t>早期実現を図るとしている。</w:t>
      </w:r>
    </w:p>
    <w:p w14:paraId="2BC0A0B4" w14:textId="489ABE01" w:rsidR="00D75DDA" w:rsidRDefault="00D75DDA" w:rsidP="00606E44">
      <w:pPr>
        <w:ind w:firstLine="240"/>
      </w:pPr>
      <w:r>
        <w:rPr>
          <w:rFonts w:hint="eastAsia"/>
        </w:rPr>
        <w:t>この東京金</w:t>
      </w:r>
      <w:r w:rsidR="005D6333">
        <w:rPr>
          <w:rFonts w:hint="eastAsia"/>
        </w:rPr>
        <w:t>融都市化構想を実現するに当たっての注目点を点検し</w:t>
      </w:r>
      <w:r w:rsidR="006F22D8">
        <w:rPr>
          <w:rFonts w:hint="eastAsia"/>
        </w:rPr>
        <w:t>、個人投資家の立場からの要望を検討し</w:t>
      </w:r>
      <w:r w:rsidR="005D6333">
        <w:rPr>
          <w:rFonts w:hint="eastAsia"/>
        </w:rPr>
        <w:t>てみたい。</w:t>
      </w:r>
    </w:p>
    <w:p w14:paraId="0BC4FC67" w14:textId="1F13BB69" w:rsidR="005D6333" w:rsidRDefault="005D6333" w:rsidP="005D6333">
      <w:pPr>
        <w:ind w:firstLineChars="0" w:firstLine="0"/>
      </w:pPr>
    </w:p>
    <w:p w14:paraId="53096344" w14:textId="703B5520" w:rsidR="005D6333" w:rsidRPr="00BD45CD" w:rsidRDefault="005D6333" w:rsidP="005D6333">
      <w:pPr>
        <w:ind w:firstLineChars="0" w:firstLine="0"/>
        <w:rPr>
          <w:b/>
          <w:bCs/>
        </w:rPr>
      </w:pPr>
      <w:r w:rsidRPr="00BD45CD">
        <w:rPr>
          <w:rFonts w:hint="eastAsia"/>
          <w:b/>
          <w:bCs/>
        </w:rPr>
        <w:t>東京国際金融</w:t>
      </w:r>
      <w:r w:rsidR="0083120F">
        <w:rPr>
          <w:rFonts w:hint="eastAsia"/>
          <w:b/>
          <w:bCs/>
        </w:rPr>
        <w:t>センター</w:t>
      </w:r>
      <w:r w:rsidRPr="00BD45CD">
        <w:rPr>
          <w:rFonts w:hint="eastAsia"/>
          <w:b/>
          <w:bCs/>
        </w:rPr>
        <w:t>構想</w:t>
      </w:r>
      <w:r w:rsidR="00FE6A46">
        <w:rPr>
          <w:rFonts w:hint="eastAsia"/>
          <w:b/>
          <w:bCs/>
        </w:rPr>
        <w:t>はサステナブルか？</w:t>
      </w:r>
    </w:p>
    <w:p w14:paraId="027C17E7" w14:textId="6DADA9FF" w:rsidR="00BD45CD" w:rsidRDefault="00BD45CD" w:rsidP="005D6333">
      <w:pPr>
        <w:ind w:firstLineChars="0" w:firstLine="0"/>
      </w:pPr>
    </w:p>
    <w:p w14:paraId="3A5F8B80" w14:textId="16C7A258" w:rsidR="00BD45CD" w:rsidRDefault="00BD45CD" w:rsidP="00BD45CD">
      <w:pPr>
        <w:ind w:firstLine="240"/>
      </w:pPr>
      <w:r w:rsidRPr="00101BFF">
        <w:rPr>
          <w:rFonts w:hAnsi="ＭＳ 明朝" w:hint="eastAsia"/>
          <w:color w:val="000000"/>
          <w:szCs w:val="24"/>
        </w:rPr>
        <w:t>2017年に</w:t>
      </w:r>
      <w:r w:rsidR="00FC5E8E">
        <w:rPr>
          <w:rFonts w:hAnsi="ＭＳ 明朝" w:hint="eastAsia"/>
          <w:color w:val="000000"/>
          <w:szCs w:val="24"/>
        </w:rPr>
        <w:t>東京都が</w:t>
      </w:r>
      <w:r w:rsidRPr="00101BFF">
        <w:rPr>
          <w:rFonts w:hAnsi="ＭＳ 明朝" w:hint="eastAsia"/>
          <w:color w:val="000000"/>
          <w:szCs w:val="24"/>
        </w:rPr>
        <w:t>策定</w:t>
      </w:r>
      <w:r w:rsidR="00FC5E8E">
        <w:rPr>
          <w:rFonts w:hAnsi="ＭＳ 明朝" w:hint="eastAsia"/>
          <w:color w:val="000000"/>
          <w:szCs w:val="24"/>
        </w:rPr>
        <w:t>したセンター</w:t>
      </w:r>
      <w:r w:rsidRPr="00101BFF">
        <w:rPr>
          <w:rFonts w:hAnsi="ＭＳ 明朝" w:hint="eastAsia"/>
          <w:color w:val="000000"/>
          <w:szCs w:val="24"/>
        </w:rPr>
        <w:t>構想では、税負担の軽減、行政手続きの簡素化など、環境整備のための施策が網羅的に掲げられていたが、改訂案</w:t>
      </w:r>
      <w:r w:rsidR="0083120F">
        <w:rPr>
          <w:rFonts w:hAnsi="ＭＳ 明朝" w:hint="eastAsia"/>
          <w:color w:val="000000"/>
          <w:szCs w:val="24"/>
        </w:rPr>
        <w:t>で</w:t>
      </w:r>
      <w:r w:rsidRPr="00101BFF">
        <w:rPr>
          <w:rFonts w:hAnsi="ＭＳ 明朝" w:hint="eastAsia"/>
          <w:color w:val="000000"/>
          <w:szCs w:val="24"/>
        </w:rPr>
        <w:t>は、注力分野を特定し、KPI</w:t>
      </w:r>
      <w:r>
        <w:rPr>
          <w:rFonts w:hAnsi="ＭＳ 明朝" w:hint="eastAsia"/>
          <w:color w:val="000000"/>
          <w:szCs w:val="24"/>
        </w:rPr>
        <w:t>(重要業績評価指標)</w:t>
      </w:r>
      <w:r w:rsidRPr="00101BFF">
        <w:rPr>
          <w:rFonts w:hAnsi="ＭＳ 明朝" w:hint="eastAsia"/>
          <w:color w:val="000000"/>
          <w:szCs w:val="24"/>
        </w:rPr>
        <w:t>を設定するなど、より実践的な内容</w:t>
      </w:r>
      <w:r>
        <w:rPr>
          <w:rFonts w:hAnsi="ＭＳ 明朝" w:hint="eastAsia"/>
          <w:color w:val="000000"/>
          <w:szCs w:val="24"/>
        </w:rPr>
        <w:t>に充実した</w:t>
      </w:r>
      <w:r w:rsidRPr="00101BFF">
        <w:rPr>
          <w:rFonts w:hAnsi="ＭＳ 明朝" w:hint="eastAsia"/>
          <w:color w:val="000000"/>
          <w:szCs w:val="24"/>
        </w:rPr>
        <w:t>。</w:t>
      </w:r>
      <w:r w:rsidRPr="00101BFF">
        <w:rPr>
          <w:rFonts w:hAnsi="ＭＳ 明朝" w:hint="eastAsia"/>
          <w:color w:val="000000"/>
          <w:szCs w:val="24"/>
        </w:rPr>
        <w:br/>
      </w:r>
      <w:r w:rsidRPr="00101BFF">
        <w:rPr>
          <w:rFonts w:hAnsi="ＭＳ 明朝" w:hint="eastAsia"/>
          <w:color w:val="000000"/>
          <w:szCs w:val="24"/>
        </w:rPr>
        <w:br/>
      </w:r>
      <w:r>
        <w:rPr>
          <w:rFonts w:hAnsi="ＭＳ 明朝" w:hint="eastAsia"/>
          <w:color w:val="000000"/>
          <w:szCs w:val="24"/>
        </w:rPr>
        <w:t xml:space="preserve">　</w:t>
      </w:r>
      <w:r w:rsidRPr="00101BFF">
        <w:rPr>
          <w:rFonts w:hAnsi="ＭＳ 明朝" w:hint="eastAsia"/>
          <w:color w:val="000000"/>
          <w:szCs w:val="24"/>
        </w:rPr>
        <w:t>具体的には、①グリーンファイナンス市場の整備等の「社会課題解決に貢献する金融市場構築」、②フィンテックの活用・関連企業誘致等の「金融のデジタライゼーション」、③資産運用業者誘致・支援や金融系人材育成等の「金融関連プレーヤーの集積」に注力</w:t>
      </w:r>
      <w:r>
        <w:rPr>
          <w:rFonts w:hAnsi="ＭＳ 明朝" w:hint="eastAsia"/>
          <w:color w:val="000000"/>
          <w:szCs w:val="24"/>
        </w:rPr>
        <w:t>するとしている</w:t>
      </w:r>
      <w:r w:rsidRPr="00101BFF">
        <w:rPr>
          <w:rFonts w:hAnsi="ＭＳ 明朝" w:hint="eastAsia"/>
          <w:color w:val="000000"/>
          <w:szCs w:val="24"/>
        </w:rPr>
        <w:t>。</w:t>
      </w:r>
      <w:r>
        <w:rPr>
          <w:rFonts w:hAnsi="ＭＳ 明朝" w:hint="eastAsia"/>
          <w:color w:val="000000"/>
          <w:szCs w:val="24"/>
        </w:rPr>
        <w:t>(図１)</w:t>
      </w:r>
    </w:p>
    <w:p w14:paraId="3CDB5993" w14:textId="4608230F" w:rsidR="005D6333" w:rsidRDefault="005D6333" w:rsidP="005D6333">
      <w:pPr>
        <w:ind w:firstLineChars="0" w:firstLine="0"/>
      </w:pPr>
    </w:p>
    <w:p w14:paraId="4135DB4E" w14:textId="2F41BDF2" w:rsidR="005D6333" w:rsidRDefault="005D6333" w:rsidP="00101BFF">
      <w:pPr>
        <w:ind w:firstLineChars="0" w:firstLine="0"/>
        <w:jc w:val="center"/>
      </w:pPr>
      <w:r>
        <w:rPr>
          <w:rFonts w:hint="eastAsia"/>
          <w:noProof/>
        </w:rPr>
        <w:drawing>
          <wp:inline distT="0" distB="0" distL="0" distR="0" wp14:anchorId="30C42ADA" wp14:editId="7F5F9CD4">
            <wp:extent cx="5576596" cy="306705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5582086" cy="3070069"/>
                    </a:xfrm>
                    <a:prstGeom prst="rect">
                      <a:avLst/>
                    </a:prstGeom>
                  </pic:spPr>
                </pic:pic>
              </a:graphicData>
            </a:graphic>
          </wp:inline>
        </w:drawing>
      </w:r>
    </w:p>
    <w:p w14:paraId="0820B885" w14:textId="6A53845B" w:rsidR="00101BFF" w:rsidRDefault="00101BFF" w:rsidP="00101BFF">
      <w:pPr>
        <w:ind w:firstLineChars="0" w:firstLine="0"/>
        <w:jc w:val="center"/>
      </w:pPr>
    </w:p>
    <w:p w14:paraId="0A2E7AB5" w14:textId="21B37453" w:rsidR="00FC5E8E" w:rsidRDefault="00101BFF" w:rsidP="00101BFF">
      <w:pPr>
        <w:ind w:firstLine="240"/>
        <w:rPr>
          <w:rFonts w:hAnsi="ＭＳ 明朝"/>
          <w:color w:val="000000"/>
          <w:szCs w:val="24"/>
        </w:rPr>
      </w:pPr>
      <w:r w:rsidRPr="00101BFF">
        <w:rPr>
          <w:rFonts w:hAnsi="ＭＳ 明朝" w:hint="eastAsia"/>
          <w:color w:val="000000"/>
          <w:szCs w:val="24"/>
        </w:rPr>
        <w:br/>
      </w:r>
      <w:r>
        <w:rPr>
          <w:rFonts w:hAnsi="ＭＳ 明朝" w:hint="eastAsia"/>
          <w:color w:val="000000"/>
          <w:szCs w:val="24"/>
        </w:rPr>
        <w:t xml:space="preserve">　</w:t>
      </w:r>
      <w:r w:rsidRPr="00101BFF">
        <w:rPr>
          <w:rFonts w:hAnsi="ＭＳ 明朝" w:hint="eastAsia"/>
          <w:color w:val="000000"/>
          <w:szCs w:val="24"/>
        </w:rPr>
        <w:t>2030年に目指すべきKPIとして</w:t>
      </w:r>
      <w:r w:rsidR="00BD45CD">
        <w:rPr>
          <w:rFonts w:hAnsi="ＭＳ 明朝" w:hint="eastAsia"/>
          <w:color w:val="000000"/>
          <w:szCs w:val="24"/>
        </w:rPr>
        <w:t>は</w:t>
      </w:r>
      <w:r w:rsidRPr="00101BFF">
        <w:rPr>
          <w:rFonts w:hAnsi="ＭＳ 明朝" w:hint="eastAsia"/>
          <w:color w:val="000000"/>
          <w:szCs w:val="24"/>
        </w:rPr>
        <w:t>、</w:t>
      </w:r>
      <w:r w:rsidR="00BD45CD">
        <w:rPr>
          <w:rFonts w:hAnsi="ＭＳ 明朝" w:hint="eastAsia"/>
          <w:color w:val="000000"/>
          <w:szCs w:val="24"/>
        </w:rPr>
        <w:t>①</w:t>
      </w:r>
      <w:r w:rsidRPr="00101BFF">
        <w:rPr>
          <w:rFonts w:hAnsi="ＭＳ 明朝" w:hint="eastAsia"/>
          <w:color w:val="000000"/>
          <w:szCs w:val="24"/>
        </w:rPr>
        <w:t>国内公募のグリーンボンド発行金額３兆円（2020年比2.5倍）、</w:t>
      </w:r>
      <w:r w:rsidR="00BD45CD">
        <w:rPr>
          <w:rFonts w:hAnsi="ＭＳ 明朝" w:hint="eastAsia"/>
          <w:color w:val="000000"/>
          <w:szCs w:val="24"/>
        </w:rPr>
        <w:t>②</w:t>
      </w:r>
      <w:r w:rsidRPr="00101BFF">
        <w:rPr>
          <w:rFonts w:hAnsi="ＭＳ 明朝" w:hint="eastAsia"/>
          <w:color w:val="000000"/>
          <w:szCs w:val="24"/>
        </w:rPr>
        <w:t>フィンテック企業数(都内)400社（同４倍）、</w:t>
      </w:r>
      <w:r w:rsidR="00BD45CD">
        <w:rPr>
          <w:rFonts w:hAnsi="ＭＳ 明朝" w:hint="eastAsia"/>
          <w:color w:val="000000"/>
          <w:szCs w:val="24"/>
        </w:rPr>
        <w:t>③</w:t>
      </w:r>
      <w:r w:rsidRPr="00101BFF">
        <w:rPr>
          <w:rFonts w:hAnsi="ＭＳ 明朝" w:hint="eastAsia"/>
          <w:color w:val="000000"/>
          <w:szCs w:val="24"/>
        </w:rPr>
        <w:t>キャッシュレス比率80％、</w:t>
      </w:r>
      <w:r w:rsidR="00BD45CD">
        <w:rPr>
          <w:rFonts w:hAnsi="ＭＳ 明朝" w:hint="eastAsia"/>
          <w:color w:val="000000"/>
          <w:szCs w:val="24"/>
        </w:rPr>
        <w:t>④</w:t>
      </w:r>
      <w:r w:rsidRPr="00101BFF">
        <w:rPr>
          <w:rFonts w:hAnsi="ＭＳ 明朝" w:hint="eastAsia"/>
          <w:color w:val="000000"/>
          <w:szCs w:val="24"/>
        </w:rPr>
        <w:t>資産運用業者数(都内)900社（同2.4倍）などを設定</w:t>
      </w:r>
      <w:r w:rsidR="00BD45CD">
        <w:rPr>
          <w:rFonts w:hAnsi="ＭＳ 明朝" w:hint="eastAsia"/>
          <w:color w:val="000000"/>
          <w:szCs w:val="24"/>
        </w:rPr>
        <w:t>、</w:t>
      </w:r>
      <w:r w:rsidRPr="00101BFF">
        <w:rPr>
          <w:rFonts w:hAnsi="ＭＳ 明朝" w:hint="eastAsia"/>
          <w:color w:val="000000"/>
          <w:szCs w:val="24"/>
        </w:rPr>
        <w:t>同構想を通じた金融産業の活性化による都内GDPの押上げ効果を10兆円（2019年の都内GDPの９％に相当）と試算</w:t>
      </w:r>
      <w:r>
        <w:rPr>
          <w:rFonts w:hAnsi="ＭＳ 明朝" w:hint="eastAsia"/>
          <w:color w:val="000000"/>
          <w:szCs w:val="24"/>
        </w:rPr>
        <w:t>している</w:t>
      </w:r>
      <w:r w:rsidRPr="00101BFF">
        <w:rPr>
          <w:rFonts w:hAnsi="ＭＳ 明朝" w:hint="eastAsia"/>
          <w:color w:val="000000"/>
          <w:szCs w:val="24"/>
        </w:rPr>
        <w:t>。</w:t>
      </w:r>
      <w:r w:rsidR="00764CB0">
        <w:rPr>
          <w:rFonts w:hAnsi="ＭＳ 明朝"/>
          <w:color w:val="000000"/>
          <w:szCs w:val="24"/>
        </w:rPr>
        <w:br/>
      </w:r>
    </w:p>
    <w:p w14:paraId="3A426F45" w14:textId="7962C2A7" w:rsidR="00764CB0" w:rsidRDefault="00764CB0" w:rsidP="00764CB0">
      <w:pPr>
        <w:ind w:firstLine="240"/>
        <w:rPr>
          <w:rFonts w:hAnsi="ＭＳ 明朝"/>
          <w:color w:val="000000"/>
          <w:szCs w:val="24"/>
        </w:rPr>
      </w:pPr>
      <w:r w:rsidRPr="00101BFF">
        <w:rPr>
          <w:rFonts w:hAnsi="ＭＳ 明朝" w:hint="eastAsia"/>
          <w:color w:val="000000"/>
          <w:szCs w:val="24"/>
        </w:rPr>
        <w:lastRenderedPageBreak/>
        <w:t>施策の中身は他の国際金融都市の施策と比較して目新しいとは言えない</w:t>
      </w:r>
      <w:r w:rsidR="007B3AB4">
        <w:rPr>
          <w:rFonts w:hAnsi="ＭＳ 明朝" w:hint="eastAsia"/>
          <w:color w:val="000000"/>
          <w:szCs w:val="24"/>
        </w:rPr>
        <w:t>。もっとも</w:t>
      </w:r>
      <w:r w:rsidRPr="00101BFF">
        <w:rPr>
          <w:rFonts w:hAnsi="ＭＳ 明朝" w:hint="eastAsia"/>
          <w:color w:val="000000"/>
          <w:szCs w:val="24"/>
        </w:rPr>
        <w:t>、フィンテック企業数や資産運用業者数など</w:t>
      </w:r>
      <w:r w:rsidR="007B3AB4">
        <w:rPr>
          <w:rFonts w:hAnsi="ＭＳ 明朝" w:hint="eastAsia"/>
          <w:color w:val="000000"/>
          <w:szCs w:val="24"/>
        </w:rPr>
        <w:t>の</w:t>
      </w:r>
      <w:r w:rsidR="007B3AB4" w:rsidRPr="00101BFF">
        <w:rPr>
          <w:rFonts w:hAnsi="ＭＳ 明朝" w:hint="eastAsia"/>
          <w:color w:val="000000"/>
          <w:szCs w:val="24"/>
        </w:rPr>
        <w:t>KPI</w:t>
      </w:r>
      <w:r w:rsidR="007B3AB4">
        <w:rPr>
          <w:rFonts w:hAnsi="ＭＳ 明朝" w:hint="eastAsia"/>
          <w:color w:val="000000"/>
          <w:szCs w:val="24"/>
        </w:rPr>
        <w:t>値の</w:t>
      </w:r>
      <w:r w:rsidR="007B3AB4">
        <w:rPr>
          <w:rFonts w:hAnsi="ＭＳ 明朝" w:hint="eastAsia"/>
          <w:color w:val="000000"/>
          <w:szCs w:val="24"/>
        </w:rPr>
        <w:t>目標</w:t>
      </w:r>
      <w:r w:rsidR="007B3AB4" w:rsidRPr="00101BFF">
        <w:rPr>
          <w:rFonts w:hAnsi="ＭＳ 明朝" w:hint="eastAsia"/>
          <w:color w:val="000000"/>
          <w:szCs w:val="24"/>
        </w:rPr>
        <w:t>は</w:t>
      </w:r>
      <w:r w:rsidRPr="00101BFF">
        <w:rPr>
          <w:rFonts w:hAnsi="ＭＳ 明朝" w:hint="eastAsia"/>
          <w:color w:val="000000"/>
          <w:szCs w:val="24"/>
        </w:rPr>
        <w:t>かなり高い水準であり、実現</w:t>
      </w:r>
      <w:r>
        <w:rPr>
          <w:rFonts w:hAnsi="ＭＳ 明朝" w:hint="eastAsia"/>
          <w:color w:val="000000"/>
          <w:szCs w:val="24"/>
        </w:rPr>
        <w:t>の</w:t>
      </w:r>
      <w:r w:rsidRPr="00101BFF">
        <w:rPr>
          <w:rFonts w:hAnsi="ＭＳ 明朝" w:hint="eastAsia"/>
          <w:color w:val="000000"/>
          <w:szCs w:val="24"/>
        </w:rPr>
        <w:t>ハードル</w:t>
      </w:r>
      <w:r>
        <w:rPr>
          <w:rFonts w:hAnsi="ＭＳ 明朝" w:hint="eastAsia"/>
          <w:color w:val="000000"/>
          <w:szCs w:val="24"/>
        </w:rPr>
        <w:t>は高い</w:t>
      </w:r>
      <w:r w:rsidRPr="00101BFF">
        <w:rPr>
          <w:rFonts w:hAnsi="ＭＳ 明朝" w:hint="eastAsia"/>
          <w:color w:val="000000"/>
          <w:szCs w:val="24"/>
        </w:rPr>
        <w:t>。</w:t>
      </w:r>
    </w:p>
    <w:p w14:paraId="06BDCBDC" w14:textId="77777777" w:rsidR="00764CB0" w:rsidRPr="00764CB0" w:rsidRDefault="00764CB0" w:rsidP="00101BFF">
      <w:pPr>
        <w:ind w:firstLine="240"/>
        <w:rPr>
          <w:rFonts w:hAnsi="ＭＳ 明朝"/>
          <w:color w:val="000000"/>
          <w:szCs w:val="24"/>
        </w:rPr>
      </w:pPr>
    </w:p>
    <w:p w14:paraId="2109802F" w14:textId="6F572AC1" w:rsidR="00101BFF" w:rsidRPr="0083120F" w:rsidRDefault="00101BFF" w:rsidP="00101BFF">
      <w:pPr>
        <w:ind w:firstLine="240"/>
        <w:rPr>
          <w:rFonts w:hAnsi="ＭＳ 明朝"/>
          <w:b/>
          <w:bCs/>
          <w:szCs w:val="24"/>
        </w:rPr>
      </w:pPr>
      <w:r w:rsidRPr="00101BFF">
        <w:rPr>
          <w:rFonts w:hAnsi="ＭＳ 明朝" w:hint="eastAsia"/>
          <w:color w:val="000000"/>
          <w:szCs w:val="24"/>
        </w:rPr>
        <w:br/>
      </w:r>
      <w:r w:rsidR="00FE6A46" w:rsidRPr="0083120F">
        <w:rPr>
          <w:rFonts w:hAnsi="ＭＳ 明朝" w:hint="eastAsia"/>
          <w:b/>
          <w:bCs/>
          <w:szCs w:val="24"/>
        </w:rPr>
        <w:t>東京の国際金融</w:t>
      </w:r>
      <w:r w:rsidR="00FC5E8E" w:rsidRPr="0083120F">
        <w:rPr>
          <w:rFonts w:hAnsi="ＭＳ 明朝" w:hint="eastAsia"/>
          <w:b/>
          <w:bCs/>
          <w:szCs w:val="24"/>
        </w:rPr>
        <w:t>センター</w:t>
      </w:r>
      <w:r w:rsidR="00FE6A46" w:rsidRPr="0083120F">
        <w:rPr>
          <w:rFonts w:hAnsi="ＭＳ 明朝" w:hint="eastAsia"/>
          <w:b/>
          <w:bCs/>
          <w:szCs w:val="24"/>
        </w:rPr>
        <w:t>機能は衰退の一途</w:t>
      </w:r>
    </w:p>
    <w:p w14:paraId="64ADB584" w14:textId="5D771843" w:rsidR="00E10BF5" w:rsidRDefault="00E10BF5" w:rsidP="00E10BF5">
      <w:pPr>
        <w:ind w:firstLineChars="0" w:firstLine="0"/>
        <w:rPr>
          <w:rFonts w:hAnsi="ＭＳ 明朝"/>
          <w:szCs w:val="24"/>
        </w:rPr>
      </w:pPr>
    </w:p>
    <w:p w14:paraId="3CEAB235" w14:textId="03825BE1" w:rsidR="00FE6A46" w:rsidRDefault="00FE6A46" w:rsidP="00E10BF5">
      <w:pPr>
        <w:ind w:firstLineChars="0" w:firstLine="0"/>
        <w:rPr>
          <w:rFonts w:hAnsi="ＭＳ 明朝"/>
          <w:szCs w:val="24"/>
        </w:rPr>
      </w:pPr>
      <w:r>
        <w:rPr>
          <w:rFonts w:hAnsi="ＭＳ 明朝" w:hint="eastAsia"/>
          <w:szCs w:val="24"/>
        </w:rPr>
        <w:t xml:space="preserve">　国際的に活躍する</w:t>
      </w:r>
      <w:r w:rsidR="00764CB0">
        <w:rPr>
          <w:rFonts w:hAnsi="ＭＳ 明朝" w:hint="eastAsia"/>
          <w:szCs w:val="24"/>
        </w:rPr>
        <w:t>諸外国の</w:t>
      </w:r>
      <w:r>
        <w:rPr>
          <w:rFonts w:hAnsi="ＭＳ 明朝" w:hint="eastAsia"/>
          <w:szCs w:val="24"/>
        </w:rPr>
        <w:t>金融機関は東京に魅力を感じているのであろうか。有力金融都市の外国銀行数</w:t>
      </w:r>
      <w:r w:rsidR="00B86423">
        <w:rPr>
          <w:rFonts w:hAnsi="ＭＳ 明朝" w:hint="eastAsia"/>
          <w:szCs w:val="24"/>
        </w:rPr>
        <w:t>（2020年末現在）</w:t>
      </w:r>
      <w:r>
        <w:rPr>
          <w:rFonts w:hAnsi="ＭＳ 明朝" w:hint="eastAsia"/>
          <w:szCs w:val="24"/>
        </w:rPr>
        <w:t>をみると、</w:t>
      </w:r>
      <w:r w:rsidR="00B86423">
        <w:rPr>
          <w:rFonts w:hAnsi="ＭＳ 明朝" w:hint="eastAsia"/>
          <w:szCs w:val="24"/>
        </w:rPr>
        <w:t>ロンドン；250行、ニューヨーク；163行、</w:t>
      </w:r>
      <w:r>
        <w:rPr>
          <w:rFonts w:hAnsi="ＭＳ 明朝" w:hint="eastAsia"/>
          <w:szCs w:val="24"/>
        </w:rPr>
        <w:t>香港</w:t>
      </w:r>
      <w:r w:rsidR="00B86423">
        <w:rPr>
          <w:rFonts w:hAnsi="ＭＳ 明朝" w:hint="eastAsia"/>
          <w:szCs w:val="24"/>
        </w:rPr>
        <w:t>；</w:t>
      </w:r>
      <w:r>
        <w:rPr>
          <w:rFonts w:hAnsi="ＭＳ 明朝" w:hint="eastAsia"/>
          <w:szCs w:val="24"/>
        </w:rPr>
        <w:t>1</w:t>
      </w:r>
      <w:r w:rsidR="00B86423">
        <w:rPr>
          <w:rFonts w:hAnsi="ＭＳ 明朝" w:hint="eastAsia"/>
          <w:szCs w:val="24"/>
        </w:rPr>
        <w:t>7</w:t>
      </w:r>
      <w:r>
        <w:rPr>
          <w:rFonts w:hAnsi="ＭＳ 明朝" w:hint="eastAsia"/>
          <w:szCs w:val="24"/>
        </w:rPr>
        <w:t>2行、</w:t>
      </w:r>
      <w:r w:rsidR="00B86423">
        <w:rPr>
          <w:rFonts w:hAnsi="ＭＳ 明朝" w:hint="eastAsia"/>
          <w:szCs w:val="24"/>
        </w:rPr>
        <w:t>シンガポール；128行で各都市とも新規進出行が増加傾向にあるのに対し、東京は55行</w:t>
      </w:r>
      <w:r w:rsidR="00534755">
        <w:rPr>
          <w:rFonts w:hAnsi="ＭＳ 明朝" w:hint="eastAsia"/>
          <w:szCs w:val="24"/>
        </w:rPr>
        <w:t>とピーク時</w:t>
      </w:r>
      <w:r w:rsidR="00D83D46">
        <w:rPr>
          <w:rFonts w:hAnsi="ＭＳ 明朝" w:hint="eastAsia"/>
          <w:szCs w:val="24"/>
        </w:rPr>
        <w:t>の90行</w:t>
      </w:r>
      <w:r w:rsidR="00534755">
        <w:rPr>
          <w:rFonts w:hAnsi="ＭＳ 明朝" w:hint="eastAsia"/>
          <w:szCs w:val="24"/>
        </w:rPr>
        <w:t>に比して</w:t>
      </w:r>
      <w:r w:rsidR="003E750F">
        <w:rPr>
          <w:rFonts w:hAnsi="ＭＳ 明朝" w:hint="eastAsia"/>
          <w:szCs w:val="24"/>
        </w:rPr>
        <w:t>大幅に減少している。</w:t>
      </w:r>
    </w:p>
    <w:p w14:paraId="4C5D7BC1" w14:textId="65BCC189" w:rsidR="007B76D7" w:rsidRDefault="007B76D7" w:rsidP="00E10BF5">
      <w:pPr>
        <w:ind w:firstLineChars="0" w:firstLine="0"/>
        <w:rPr>
          <w:rFonts w:hAnsi="ＭＳ 明朝"/>
          <w:szCs w:val="24"/>
        </w:rPr>
      </w:pPr>
      <w:r>
        <w:rPr>
          <w:rFonts w:hAnsi="ＭＳ 明朝" w:hint="eastAsia"/>
          <w:szCs w:val="24"/>
        </w:rPr>
        <w:t xml:space="preserve">　また、証券取引所に上場している外国企業の割合をみると、昨年末時点でシンガポール；35.3%、香港；7.4%に対し、東証はわずか0.1%に留まっている。上場株式の時価総額も、すでに上海に抜かれ、香港にも追い上げられてきている。</w:t>
      </w:r>
    </w:p>
    <w:p w14:paraId="52DF9EB6" w14:textId="67FF72C8" w:rsidR="006F6DE5" w:rsidRDefault="00FC5E8E" w:rsidP="006F6DE5">
      <w:pPr>
        <w:ind w:firstLineChars="0" w:firstLine="0"/>
        <w:rPr>
          <w:rFonts w:hAnsi="ＭＳ 明朝" w:cs="Noto Sans"/>
          <w:color w:val="333333"/>
          <w:spacing w:val="8"/>
        </w:rPr>
      </w:pPr>
      <w:r>
        <w:rPr>
          <w:rFonts w:hAnsi="ＭＳ 明朝" w:hint="eastAsia"/>
          <w:szCs w:val="24"/>
        </w:rPr>
        <w:t xml:space="preserve">　センター構想の中心に据えられている資産運用業者数は、</w:t>
      </w:r>
      <w:r w:rsidR="00764CB0">
        <w:rPr>
          <w:rFonts w:hAnsi="ＭＳ 明朝" w:hint="eastAsia"/>
          <w:szCs w:val="24"/>
        </w:rPr>
        <w:t>昨年末時点で</w:t>
      </w:r>
      <w:r>
        <w:rPr>
          <w:rFonts w:hAnsi="ＭＳ 明朝" w:hint="eastAsia"/>
          <w:szCs w:val="24"/>
        </w:rPr>
        <w:t>ロンドン、ニューヨークの約2,000社、上海；4,721社、香港；1,808社、シンガポール；895社に対し、東京は392社</w:t>
      </w:r>
      <w:r w:rsidR="00764CB0">
        <w:rPr>
          <w:rFonts w:hAnsi="ＭＳ 明朝" w:hint="eastAsia"/>
          <w:szCs w:val="24"/>
        </w:rPr>
        <w:t>と極端に少ない。</w:t>
      </w:r>
      <w:r w:rsidR="006F6DE5">
        <w:rPr>
          <w:rFonts w:hAnsi="ＭＳ 明朝"/>
          <w:szCs w:val="24"/>
        </w:rPr>
        <w:br/>
      </w:r>
      <w:r w:rsidR="00F13838">
        <w:rPr>
          <w:rFonts w:hAnsi="ＭＳ 明朝" w:hint="eastAsia"/>
          <w:szCs w:val="24"/>
        </w:rPr>
        <w:t xml:space="preserve">　</w:t>
      </w:r>
      <w:r w:rsidR="00F13838" w:rsidRPr="006F6DE5">
        <w:rPr>
          <w:rFonts w:hAnsi="ＭＳ 明朝" w:hint="eastAsia"/>
          <w:szCs w:val="24"/>
        </w:rPr>
        <w:t>筆者にとって衝撃的</w:t>
      </w:r>
      <w:r w:rsidR="006F6DE5">
        <w:rPr>
          <w:rFonts w:hAnsi="ＭＳ 明朝" w:hint="eastAsia"/>
        </w:rPr>
        <w:t>であったのは、</w:t>
      </w:r>
      <w:r w:rsidR="00F13838" w:rsidRPr="006F6DE5">
        <w:rPr>
          <w:rFonts w:hAnsi="ＭＳ 明朝" w:cs="Noto Sans"/>
          <w:color w:val="333333"/>
          <w:spacing w:val="8"/>
        </w:rPr>
        <w:t>2020年8月</w:t>
      </w:r>
      <w:r w:rsidR="006F6DE5" w:rsidRPr="006F6DE5">
        <w:rPr>
          <w:rFonts w:hAnsi="ＭＳ 明朝" w:cs="Noto Sans" w:hint="eastAsia"/>
          <w:color w:val="333333"/>
          <w:spacing w:val="8"/>
        </w:rPr>
        <w:t>に</w:t>
      </w:r>
      <w:r w:rsidR="00F13838" w:rsidRPr="006F6DE5">
        <w:rPr>
          <w:rFonts w:hAnsi="ＭＳ 明朝" w:cs="Noto Sans"/>
          <w:color w:val="333333"/>
          <w:spacing w:val="8"/>
        </w:rPr>
        <w:t>世界最大級の運用会社である米バンガード・グループ</w:t>
      </w:r>
      <w:r w:rsidR="006F6DE5">
        <w:rPr>
          <w:rFonts w:hAnsi="ＭＳ 明朝" w:cs="Noto Sans" w:hint="eastAsia"/>
          <w:color w:val="333333"/>
          <w:spacing w:val="8"/>
        </w:rPr>
        <w:t>が設立から20年を経て、</w:t>
      </w:r>
      <w:r w:rsidR="00F13838" w:rsidRPr="006F6DE5">
        <w:rPr>
          <w:rFonts w:hAnsi="ＭＳ 明朝" w:cs="Noto Sans"/>
          <w:color w:val="333333"/>
          <w:spacing w:val="8"/>
        </w:rPr>
        <w:t>同社の日本拠点での営業活動を段階的に終了し、日本支社を閉鎖する</w:t>
      </w:r>
      <w:r w:rsidR="00B826FD">
        <w:rPr>
          <w:rFonts w:hAnsi="ＭＳ 明朝" w:cs="Noto Sans" w:hint="eastAsia"/>
          <w:color w:val="333333"/>
          <w:spacing w:val="8"/>
        </w:rPr>
        <w:t>と</w:t>
      </w:r>
      <w:r w:rsidR="00F13838" w:rsidRPr="006F6DE5">
        <w:rPr>
          <w:rFonts w:hAnsi="ＭＳ 明朝" w:cs="Noto Sans"/>
          <w:color w:val="333333"/>
          <w:spacing w:val="8"/>
        </w:rPr>
        <w:t>発表し</w:t>
      </w:r>
      <w:r w:rsidR="006F6DE5">
        <w:rPr>
          <w:rFonts w:hAnsi="ＭＳ 明朝" w:cs="Noto Sans" w:hint="eastAsia"/>
          <w:color w:val="333333"/>
          <w:spacing w:val="8"/>
        </w:rPr>
        <w:t>たニュースである。</w:t>
      </w:r>
    </w:p>
    <w:p w14:paraId="2DCF781B" w14:textId="7C11003C" w:rsidR="00F13838" w:rsidRPr="006F6DE5" w:rsidRDefault="006F6DE5" w:rsidP="00B826FD">
      <w:pPr>
        <w:ind w:firstLine="256"/>
        <w:rPr>
          <w:rFonts w:hAnsi="ＭＳ 明朝" w:cs="Noto Sans"/>
          <w:color w:val="333333"/>
          <w:spacing w:val="8"/>
        </w:rPr>
      </w:pPr>
      <w:r>
        <w:rPr>
          <w:rFonts w:hAnsi="ＭＳ 明朝" w:cs="Noto Sans" w:hint="eastAsia"/>
          <w:color w:val="333333"/>
          <w:spacing w:val="8"/>
        </w:rPr>
        <w:t>もう一つの撤退例は</w:t>
      </w:r>
      <w:r w:rsidR="00FD197A">
        <w:rPr>
          <w:rFonts w:hAnsi="ＭＳ 明朝" w:cs="Noto Sans" w:hint="eastAsia"/>
          <w:color w:val="333333"/>
          <w:spacing w:val="8"/>
        </w:rPr>
        <w:t>、世界一の個人金融資産預かり残高を擁するチャールズ・シュワブが1999年に東京海上との合弁で設立した個人向け証券会社をわずか3年で閉鎖に踏み切った事例である。同社は同時に進出した香港では</w:t>
      </w:r>
      <w:r w:rsidR="00B826FD">
        <w:rPr>
          <w:rFonts w:hAnsi="ＭＳ 明朝" w:cs="Noto Sans" w:hint="eastAsia"/>
          <w:color w:val="333333"/>
          <w:spacing w:val="8"/>
        </w:rPr>
        <w:t>個人の米国株投資を梃に大</w:t>
      </w:r>
      <w:r w:rsidR="00FD197A">
        <w:rPr>
          <w:rFonts w:hAnsi="ＭＳ 明朝" w:cs="Noto Sans" w:hint="eastAsia"/>
          <w:color w:val="333333"/>
          <w:spacing w:val="8"/>
        </w:rPr>
        <w:t>成功を収めている。</w:t>
      </w:r>
      <w:r w:rsidR="00F13838" w:rsidRPr="006F6DE5">
        <w:rPr>
          <w:rFonts w:hAnsi="ＭＳ 明朝" w:cs="Noto Sans"/>
          <w:color w:val="333333"/>
          <w:spacing w:val="8"/>
        </w:rPr>
        <w:t xml:space="preserve">　</w:t>
      </w:r>
    </w:p>
    <w:p w14:paraId="3A94CCD9" w14:textId="0B3F7C27" w:rsidR="00F13838" w:rsidRPr="00F13838" w:rsidRDefault="00F13838" w:rsidP="00E10BF5">
      <w:pPr>
        <w:ind w:firstLineChars="0" w:firstLine="0"/>
        <w:rPr>
          <w:rFonts w:hAnsi="ＭＳ 明朝"/>
          <w:szCs w:val="24"/>
        </w:rPr>
      </w:pPr>
    </w:p>
    <w:p w14:paraId="6DDB7273" w14:textId="16C29D5E" w:rsidR="00C2637C" w:rsidRDefault="00C2637C" w:rsidP="00E10BF5">
      <w:pPr>
        <w:ind w:firstLineChars="0" w:firstLine="0"/>
        <w:rPr>
          <w:rFonts w:hAnsi="ＭＳ 明朝"/>
          <w:szCs w:val="24"/>
        </w:rPr>
      </w:pPr>
    </w:p>
    <w:p w14:paraId="431BCEBA" w14:textId="1BBD3D9A" w:rsidR="00C2637C" w:rsidRPr="00C2637C" w:rsidRDefault="00C2637C" w:rsidP="00E10BF5">
      <w:pPr>
        <w:ind w:firstLineChars="0" w:firstLine="0"/>
        <w:rPr>
          <w:rFonts w:hAnsi="ＭＳ 明朝"/>
          <w:b/>
          <w:bCs/>
          <w:szCs w:val="24"/>
        </w:rPr>
      </w:pPr>
      <w:r w:rsidRPr="00C2637C">
        <w:rPr>
          <w:rFonts w:hAnsi="ＭＳ 明朝" w:hint="eastAsia"/>
          <w:b/>
          <w:bCs/>
          <w:szCs w:val="24"/>
        </w:rPr>
        <w:t>成長を続ける香港、衰退の東京</w:t>
      </w:r>
    </w:p>
    <w:p w14:paraId="0C942E9D" w14:textId="2BCCE92B" w:rsidR="008C08EF" w:rsidRDefault="008C08EF" w:rsidP="00E10BF5">
      <w:pPr>
        <w:ind w:firstLineChars="0" w:firstLine="0"/>
        <w:rPr>
          <w:rFonts w:hAnsi="ＭＳ 明朝"/>
          <w:szCs w:val="24"/>
        </w:rPr>
      </w:pPr>
    </w:p>
    <w:p w14:paraId="6F19EFEF" w14:textId="61F504CB" w:rsidR="008C08EF" w:rsidRDefault="008C08EF" w:rsidP="00E10BF5">
      <w:pPr>
        <w:ind w:firstLineChars="0" w:firstLine="0"/>
        <w:rPr>
          <w:rFonts w:hAnsi="ＭＳ 明朝"/>
          <w:szCs w:val="24"/>
        </w:rPr>
      </w:pPr>
      <w:r>
        <w:rPr>
          <w:rFonts w:hAnsi="ＭＳ 明朝" w:hint="eastAsia"/>
          <w:szCs w:val="24"/>
        </w:rPr>
        <w:t xml:space="preserve">　これらの諸要因を総合した国際金融センターとしての国際的な競争力を総合的に評価した指</w:t>
      </w:r>
      <w:r w:rsidR="0006732D">
        <w:rPr>
          <w:rFonts w:hAnsi="ＭＳ 明朝" w:hint="eastAsia"/>
          <w:szCs w:val="24"/>
        </w:rPr>
        <w:t>数</w:t>
      </w:r>
      <w:r>
        <w:rPr>
          <w:rFonts w:hAnsi="ＭＳ 明朝" w:hint="eastAsia"/>
          <w:szCs w:val="24"/>
        </w:rPr>
        <w:t>を、英国のシンクタンクZ/Yenグループが、200７年3月来、半年ごとに発表している。</w:t>
      </w:r>
      <w:r w:rsidR="0006732D">
        <w:rPr>
          <w:rFonts w:hAnsi="ＭＳ 明朝" w:hint="eastAsia"/>
          <w:szCs w:val="24"/>
        </w:rPr>
        <w:t>(図２)</w:t>
      </w:r>
    </w:p>
    <w:p w14:paraId="1EBE87E1" w14:textId="6FC49A6F" w:rsidR="00764CB0" w:rsidRDefault="0006732D" w:rsidP="00E10BF5">
      <w:pPr>
        <w:ind w:firstLineChars="0" w:firstLine="0"/>
        <w:rPr>
          <w:rFonts w:hAnsi="ＭＳ 明朝"/>
          <w:szCs w:val="24"/>
        </w:rPr>
      </w:pPr>
      <w:r>
        <w:rPr>
          <w:rFonts w:hAnsi="ＭＳ 明朝" w:hint="eastAsia"/>
          <w:szCs w:val="24"/>
        </w:rPr>
        <w:t xml:space="preserve">　</w:t>
      </w:r>
    </w:p>
    <w:p w14:paraId="69BA23BD" w14:textId="348EFD8B" w:rsidR="00764CB0" w:rsidRDefault="0006732D" w:rsidP="007A3AFA">
      <w:pPr>
        <w:ind w:firstLineChars="0" w:firstLine="0"/>
        <w:jc w:val="center"/>
        <w:rPr>
          <w:rFonts w:hAnsi="ＭＳ 明朝"/>
          <w:szCs w:val="24"/>
        </w:rPr>
      </w:pPr>
      <w:r>
        <w:rPr>
          <w:rFonts w:hAnsi="ＭＳ 明朝" w:hint="eastAsia"/>
          <w:noProof/>
          <w:szCs w:val="24"/>
        </w:rPr>
        <w:drawing>
          <wp:inline distT="0" distB="0" distL="0" distR="0" wp14:anchorId="6CA19A2E" wp14:editId="3064A119">
            <wp:extent cx="3990975" cy="245880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4002451" cy="2465878"/>
                    </a:xfrm>
                    <a:prstGeom prst="rect">
                      <a:avLst/>
                    </a:prstGeom>
                  </pic:spPr>
                </pic:pic>
              </a:graphicData>
            </a:graphic>
          </wp:inline>
        </w:drawing>
      </w:r>
    </w:p>
    <w:p w14:paraId="2687D98C" w14:textId="1F131570" w:rsidR="00E10BF5" w:rsidRDefault="00E10BF5" w:rsidP="00E10BF5">
      <w:pPr>
        <w:ind w:firstLineChars="0" w:firstLine="0"/>
        <w:rPr>
          <w:rFonts w:hAnsi="ＭＳ 明朝"/>
          <w:szCs w:val="24"/>
        </w:rPr>
      </w:pPr>
    </w:p>
    <w:p w14:paraId="64657DE5" w14:textId="77777777" w:rsidR="00C2637C" w:rsidRDefault="00C2637C" w:rsidP="00C2637C">
      <w:pPr>
        <w:ind w:firstLine="240"/>
        <w:rPr>
          <w:rFonts w:hAnsi="ＭＳ 明朝"/>
          <w:szCs w:val="24"/>
        </w:rPr>
      </w:pPr>
      <w:r>
        <w:rPr>
          <w:rFonts w:hAnsi="ＭＳ 明朝" w:hint="eastAsia"/>
          <w:szCs w:val="24"/>
        </w:rPr>
        <w:t>この世界金融センター指数（GFCI</w:t>
      </w:r>
      <w:r>
        <w:rPr>
          <w:rFonts w:hAnsi="ＭＳ 明朝"/>
          <w:szCs w:val="24"/>
        </w:rPr>
        <w:t>）</w:t>
      </w:r>
      <w:r>
        <w:rPr>
          <w:rFonts w:hAnsi="ＭＳ 明朝" w:hint="eastAsia"/>
          <w:szCs w:val="24"/>
        </w:rPr>
        <w:t>は、世界114都市を対象に「世界銀行、エコノミスト・インテリジェンス・ユニット」、OECD・国連などの定量データと関係者1万人超へのアンケートに基づいた評価を指数化したものである。</w:t>
      </w:r>
    </w:p>
    <w:p w14:paraId="249BB7D9" w14:textId="77777777" w:rsidR="00C2637C" w:rsidRDefault="00C2637C" w:rsidP="00C2637C">
      <w:pPr>
        <w:ind w:firstLineChars="0" w:firstLine="0"/>
        <w:rPr>
          <w:rFonts w:hAnsi="ＭＳ 明朝"/>
          <w:szCs w:val="24"/>
        </w:rPr>
      </w:pPr>
      <w:r>
        <w:rPr>
          <w:rFonts w:hAnsi="ＭＳ 明朝" w:hint="eastAsia"/>
          <w:szCs w:val="24"/>
        </w:rPr>
        <w:lastRenderedPageBreak/>
        <w:t xml:space="preserve">　東京は前回4位にランクされたが、これは当時コロナ禍の影響が軽微であったことが影響した異常値であった模様で、すう勢的には下降傾向にある。深圳やフランクフルトに追い抜かれるのも時間の問題かと予測される。</w:t>
      </w:r>
    </w:p>
    <w:p w14:paraId="42B80F1F" w14:textId="2808F004" w:rsidR="00C2637C" w:rsidRDefault="00C2637C" w:rsidP="00C2637C">
      <w:pPr>
        <w:ind w:firstLine="240"/>
        <w:rPr>
          <w:rFonts w:hAnsi="ＭＳ 明朝"/>
          <w:szCs w:val="24"/>
        </w:rPr>
      </w:pPr>
      <w:r>
        <w:rPr>
          <w:rFonts w:hAnsi="ＭＳ 明朝" w:hint="eastAsia"/>
          <w:szCs w:val="24"/>
        </w:rPr>
        <w:t>いっぽう、上海、北京、深圳の評価は着実に上昇している。香港は中国政府の政治介入にもかかわらず効率的な金融インフラの存在が再評価されて、衰退する</w:t>
      </w:r>
      <w:r w:rsidR="00F13838">
        <w:rPr>
          <w:rFonts w:hAnsi="ＭＳ 明朝" w:hint="eastAsia"/>
          <w:szCs w:val="24"/>
        </w:rPr>
        <w:t>どころ</w:t>
      </w:r>
      <w:r>
        <w:rPr>
          <w:rFonts w:hAnsi="ＭＳ 明朝" w:hint="eastAsia"/>
          <w:szCs w:val="24"/>
        </w:rPr>
        <w:t>ではなく、中国のグローバルな金融拠点として成長を</w:t>
      </w:r>
      <w:r w:rsidR="007B3AB4">
        <w:rPr>
          <w:rFonts w:hAnsi="ＭＳ 明朝" w:hint="eastAsia"/>
          <w:szCs w:val="24"/>
        </w:rPr>
        <w:t>続けて</w:t>
      </w:r>
      <w:r>
        <w:rPr>
          <w:rFonts w:hAnsi="ＭＳ 明朝" w:hint="eastAsia"/>
          <w:szCs w:val="24"/>
        </w:rPr>
        <w:t>いる。コロナ感染を本年初をピークに完璧に抑え込んでいる点も安心感を与えている。</w:t>
      </w:r>
      <w:r w:rsidR="00F13838">
        <w:rPr>
          <w:rFonts w:hAnsi="ＭＳ 明朝" w:hint="eastAsia"/>
          <w:szCs w:val="24"/>
        </w:rPr>
        <w:t>「自由を失う香港は終わる」とメディアは報じたが、そうはなっていない。</w:t>
      </w:r>
    </w:p>
    <w:p w14:paraId="0455BC09" w14:textId="77777777" w:rsidR="007B3AB4" w:rsidRDefault="00C2637C" w:rsidP="00C2637C">
      <w:pPr>
        <w:ind w:firstLine="240"/>
        <w:rPr>
          <w:rFonts w:hAnsi="ＭＳ 明朝"/>
          <w:szCs w:val="24"/>
        </w:rPr>
      </w:pPr>
      <w:r>
        <w:rPr>
          <w:rFonts w:hAnsi="ＭＳ 明朝" w:hint="eastAsia"/>
          <w:szCs w:val="24"/>
        </w:rPr>
        <w:t>注目すべきは、2020年の新規株式公開</w:t>
      </w:r>
      <w:r w:rsidR="00051F02">
        <w:rPr>
          <w:rFonts w:hAnsi="ＭＳ 明朝" w:hint="eastAsia"/>
          <w:szCs w:val="24"/>
        </w:rPr>
        <w:t>(IPO)市場で、1位のナスダック（535億ドル）に次いで、香港</w:t>
      </w:r>
      <w:r w:rsidR="00F13838">
        <w:rPr>
          <w:rFonts w:hAnsi="ＭＳ 明朝" w:hint="eastAsia"/>
          <w:szCs w:val="24"/>
        </w:rPr>
        <w:t>が</w:t>
      </w:r>
      <w:r w:rsidR="00051F02">
        <w:rPr>
          <w:rFonts w:hAnsi="ＭＳ 明朝" w:hint="eastAsia"/>
          <w:szCs w:val="24"/>
        </w:rPr>
        <w:t>2位（503億ドル）に付けている点である。ちなみに、3位は上海（499億ドル）、深圳は4位のニューヨークに次ぐ5位（185億ドル）で、隣接する香港・深圳合算では世界一となっている。</w:t>
      </w:r>
      <w:r w:rsidR="00D90561">
        <w:rPr>
          <w:rFonts w:hAnsi="ＭＳ 明朝" w:hint="eastAsia"/>
          <w:szCs w:val="24"/>
        </w:rPr>
        <w:t>日本は8億ドルに過ぎず、番外である。</w:t>
      </w:r>
    </w:p>
    <w:p w14:paraId="5DB755B3" w14:textId="53FF5A26" w:rsidR="00652716" w:rsidRDefault="007B3AB4" w:rsidP="00C2637C">
      <w:pPr>
        <w:ind w:firstLine="240"/>
        <w:rPr>
          <w:rFonts w:hAnsi="ＭＳ 明朝"/>
          <w:szCs w:val="24"/>
        </w:rPr>
      </w:pPr>
      <w:r>
        <w:rPr>
          <w:rFonts w:hAnsi="ＭＳ 明朝" w:hint="eastAsia"/>
          <w:szCs w:val="24"/>
        </w:rPr>
        <w:t>このような劣勢から挽回を図るには</w:t>
      </w:r>
      <w:r w:rsidR="00652716">
        <w:rPr>
          <w:rFonts w:hAnsi="ＭＳ 明朝" w:hint="eastAsia"/>
          <w:szCs w:val="24"/>
        </w:rPr>
        <w:t>、</w:t>
      </w:r>
      <w:r>
        <w:rPr>
          <w:rFonts w:hAnsi="ＭＳ 明朝" w:hint="eastAsia"/>
          <w:szCs w:val="24"/>
        </w:rPr>
        <w:t>東京には</w:t>
      </w:r>
      <w:r w:rsidR="00652716">
        <w:rPr>
          <w:rFonts w:hAnsi="ＭＳ 明朝" w:hint="eastAsia"/>
          <w:szCs w:val="24"/>
        </w:rPr>
        <w:t>どのような具体的な施策</w:t>
      </w:r>
      <w:r>
        <w:rPr>
          <w:rFonts w:hAnsi="ＭＳ 明朝" w:hint="eastAsia"/>
          <w:szCs w:val="24"/>
        </w:rPr>
        <w:t>が必要であろうか</w:t>
      </w:r>
      <w:r w:rsidR="00652716">
        <w:rPr>
          <w:rFonts w:hAnsi="ＭＳ 明朝" w:hint="eastAsia"/>
          <w:szCs w:val="24"/>
        </w:rPr>
        <w:t>。</w:t>
      </w:r>
    </w:p>
    <w:p w14:paraId="3A93FBA1" w14:textId="6AD9E93D" w:rsidR="00652716" w:rsidRDefault="00652716" w:rsidP="00652716">
      <w:pPr>
        <w:ind w:firstLine="240"/>
        <w:rPr>
          <w:rFonts w:hAnsi="ＭＳ 明朝"/>
          <w:color w:val="000000"/>
          <w:szCs w:val="24"/>
        </w:rPr>
      </w:pPr>
      <w:r>
        <w:rPr>
          <w:rFonts w:hAnsi="ＭＳ 明朝" w:hint="eastAsia"/>
          <w:szCs w:val="24"/>
        </w:rPr>
        <w:t>東京都</w:t>
      </w:r>
      <w:r w:rsidR="00B857C5">
        <w:rPr>
          <w:rFonts w:hAnsi="ＭＳ 明朝" w:hint="eastAsia"/>
          <w:szCs w:val="24"/>
        </w:rPr>
        <w:t>が掲げた</w:t>
      </w:r>
      <w:r w:rsidRPr="00101BFF">
        <w:rPr>
          <w:rFonts w:hAnsi="ＭＳ 明朝" w:hint="eastAsia"/>
          <w:color w:val="000000"/>
          <w:szCs w:val="24"/>
        </w:rPr>
        <w:t>①グリーンファイナンス市場の整備、②フィンテックの活用</w:t>
      </w:r>
      <w:r w:rsidR="00B857C5">
        <w:rPr>
          <w:rFonts w:hAnsi="ＭＳ 明朝" w:hint="eastAsia"/>
          <w:color w:val="000000"/>
          <w:szCs w:val="24"/>
        </w:rPr>
        <w:t>によるDXなど</w:t>
      </w:r>
      <w:r>
        <w:rPr>
          <w:rFonts w:hAnsi="ＭＳ 明朝" w:hint="eastAsia"/>
          <w:color w:val="000000"/>
          <w:szCs w:val="24"/>
        </w:rPr>
        <w:t>は時流に乗ってはいる</w:t>
      </w:r>
      <w:r w:rsidR="00B857C5">
        <w:rPr>
          <w:rFonts w:hAnsi="ＭＳ 明朝" w:hint="eastAsia"/>
          <w:color w:val="000000"/>
          <w:szCs w:val="24"/>
        </w:rPr>
        <w:t>ものの</w:t>
      </w:r>
      <w:r>
        <w:rPr>
          <w:rFonts w:hAnsi="ＭＳ 明朝" w:hint="eastAsia"/>
          <w:color w:val="000000"/>
          <w:szCs w:val="24"/>
        </w:rPr>
        <w:t>、</w:t>
      </w:r>
      <w:r w:rsidR="007B3AB4">
        <w:rPr>
          <w:rFonts w:hAnsi="ＭＳ 明朝" w:hint="eastAsia"/>
          <w:color w:val="000000"/>
          <w:szCs w:val="24"/>
        </w:rPr>
        <w:t>長期的な課題である。</w:t>
      </w:r>
      <w:r>
        <w:rPr>
          <w:rFonts w:hAnsi="ＭＳ 明朝" w:hint="eastAsia"/>
          <w:color w:val="000000"/>
          <w:szCs w:val="24"/>
        </w:rPr>
        <w:t>当面実効が挙がる可能性があるのは</w:t>
      </w:r>
      <w:r w:rsidRPr="00101BFF">
        <w:rPr>
          <w:rFonts w:hAnsi="ＭＳ 明朝" w:hint="eastAsia"/>
          <w:color w:val="000000"/>
          <w:szCs w:val="24"/>
        </w:rPr>
        <w:t>、③資産運用業者誘致・支援や金融系人材育成等の「金融関連プレーヤーの集積」</w:t>
      </w:r>
      <w:r w:rsidR="00B857C5">
        <w:rPr>
          <w:rFonts w:hAnsi="ＭＳ 明朝" w:hint="eastAsia"/>
          <w:color w:val="000000"/>
          <w:szCs w:val="24"/>
        </w:rPr>
        <w:t>への</w:t>
      </w:r>
      <w:r w:rsidRPr="00101BFF">
        <w:rPr>
          <w:rFonts w:hAnsi="ＭＳ 明朝" w:hint="eastAsia"/>
          <w:color w:val="000000"/>
          <w:szCs w:val="24"/>
        </w:rPr>
        <w:t>注力</w:t>
      </w:r>
      <w:r w:rsidR="00B857C5">
        <w:rPr>
          <w:rFonts w:hAnsi="ＭＳ 明朝" w:hint="eastAsia"/>
          <w:color w:val="000000"/>
          <w:szCs w:val="24"/>
        </w:rPr>
        <w:t>である。</w:t>
      </w:r>
    </w:p>
    <w:p w14:paraId="6C54C4C6" w14:textId="0B0DD831" w:rsidR="00581CDB" w:rsidRDefault="00581CDB" w:rsidP="00581CDB">
      <w:pPr>
        <w:ind w:firstLineChars="0" w:firstLine="0"/>
        <w:rPr>
          <w:rFonts w:hAnsi="ＭＳ 明朝"/>
          <w:color w:val="000000"/>
          <w:szCs w:val="24"/>
        </w:rPr>
      </w:pPr>
    </w:p>
    <w:p w14:paraId="2D2B97CF" w14:textId="13615588" w:rsidR="00581CDB" w:rsidRDefault="00581CDB" w:rsidP="00581CDB">
      <w:pPr>
        <w:ind w:firstLineChars="0" w:firstLine="0"/>
        <w:rPr>
          <w:rFonts w:hAnsi="ＭＳ 明朝"/>
          <w:b/>
          <w:bCs/>
          <w:color w:val="000000"/>
          <w:szCs w:val="24"/>
        </w:rPr>
      </w:pPr>
      <w:r w:rsidRPr="00581CDB">
        <w:rPr>
          <w:rFonts w:hAnsi="ＭＳ 明朝" w:hint="eastAsia"/>
          <w:b/>
          <w:bCs/>
          <w:color w:val="000000"/>
          <w:szCs w:val="24"/>
        </w:rPr>
        <w:t>資産運用会社の誘致には「私的年金」の拡充が必須</w:t>
      </w:r>
    </w:p>
    <w:p w14:paraId="181B0FA9" w14:textId="77777777" w:rsidR="00581CDB" w:rsidRPr="00581CDB" w:rsidRDefault="00581CDB" w:rsidP="00581CDB">
      <w:pPr>
        <w:ind w:firstLineChars="0" w:firstLine="0"/>
        <w:rPr>
          <w:rFonts w:hAnsi="ＭＳ 明朝" w:hint="eastAsia"/>
          <w:b/>
          <w:bCs/>
          <w:color w:val="000000"/>
          <w:szCs w:val="24"/>
        </w:rPr>
      </w:pPr>
    </w:p>
    <w:p w14:paraId="5CDBDE5D" w14:textId="6EEB2738" w:rsidR="00AD680A" w:rsidRDefault="00B857C5" w:rsidP="00652716">
      <w:pPr>
        <w:ind w:firstLine="240"/>
        <w:rPr>
          <w:rFonts w:ascii="Segoe UI" w:hAnsi="Segoe UI" w:cs="Segoe UI"/>
          <w:color w:val="333333"/>
          <w:szCs w:val="24"/>
          <w:shd w:val="clear" w:color="auto" w:fill="FFFFFF"/>
        </w:rPr>
      </w:pPr>
      <w:r>
        <w:rPr>
          <w:rFonts w:hAnsi="ＭＳ 明朝" w:hint="eastAsia"/>
          <w:color w:val="000000"/>
          <w:szCs w:val="24"/>
        </w:rPr>
        <w:t>都の検討会でも、</w:t>
      </w:r>
      <w:r w:rsidR="00FD699F">
        <w:rPr>
          <w:rFonts w:hAnsi="ＭＳ 明朝" w:hint="eastAsia"/>
          <w:color w:val="000000"/>
          <w:szCs w:val="24"/>
        </w:rPr>
        <w:t>過半が無利息に近い現預金に死蔵されている</w:t>
      </w:r>
      <w:r>
        <w:rPr>
          <w:rFonts w:hAnsi="ＭＳ 明朝" w:hint="eastAsia"/>
          <w:color w:val="000000"/>
          <w:szCs w:val="24"/>
        </w:rPr>
        <w:t>1,9</w:t>
      </w:r>
      <w:r w:rsidR="007B3AB4">
        <w:rPr>
          <w:rFonts w:hAnsi="ＭＳ 明朝" w:hint="eastAsia"/>
          <w:color w:val="000000"/>
          <w:szCs w:val="24"/>
        </w:rPr>
        <w:t>92</w:t>
      </w:r>
      <w:r>
        <w:rPr>
          <w:rFonts w:hAnsi="ＭＳ 明朝" w:hint="eastAsia"/>
          <w:color w:val="000000"/>
          <w:szCs w:val="24"/>
        </w:rPr>
        <w:t>兆円</w:t>
      </w:r>
      <w:r w:rsidR="007B3AB4">
        <w:rPr>
          <w:rFonts w:hAnsi="ＭＳ 明朝" w:hint="eastAsia"/>
          <w:color w:val="000000"/>
          <w:szCs w:val="24"/>
        </w:rPr>
        <w:t>（2021年6月末）</w:t>
      </w:r>
      <w:r>
        <w:rPr>
          <w:rFonts w:hAnsi="ＭＳ 明朝" w:hint="eastAsia"/>
          <w:color w:val="000000"/>
          <w:szCs w:val="24"/>
        </w:rPr>
        <w:t>に上る個人金融資産の資産運用会社への開放が、外資誘致の目玉となる点で、識者の意見は一致している。政府も</w:t>
      </w:r>
      <w:r w:rsidR="00652716">
        <w:rPr>
          <w:rFonts w:ascii="Segoe UI" w:hAnsi="Segoe UI" w:cs="Segoe UI" w:hint="eastAsia"/>
          <w:color w:val="333333"/>
          <w:szCs w:val="24"/>
          <w:shd w:val="clear" w:color="auto" w:fill="FFFFFF"/>
        </w:rPr>
        <w:t>前</w:t>
      </w:r>
      <w:r w:rsidR="00652716" w:rsidRPr="00FC5E8E">
        <w:rPr>
          <w:rFonts w:ascii="Segoe UI" w:hAnsi="Segoe UI" w:cs="Segoe UI"/>
          <w:color w:val="333333"/>
          <w:szCs w:val="24"/>
          <w:shd w:val="clear" w:color="auto" w:fill="FFFFFF"/>
        </w:rPr>
        <w:t>国会に提出した改正金融商品取引法案で、海外の投資運用業者を誘致する新制度を盛り込んだ。</w:t>
      </w:r>
    </w:p>
    <w:p w14:paraId="67C37F69" w14:textId="44D5C564" w:rsidR="00652716" w:rsidRDefault="00AD680A" w:rsidP="00652716">
      <w:pPr>
        <w:ind w:firstLine="240"/>
        <w:rPr>
          <w:rFonts w:hAnsi="ＭＳ 明朝"/>
          <w:color w:val="000000"/>
          <w:szCs w:val="24"/>
        </w:rPr>
      </w:pPr>
      <w:r>
        <w:rPr>
          <w:rFonts w:ascii="Segoe UI" w:hAnsi="Segoe UI" w:cs="Segoe UI" w:hint="eastAsia"/>
          <w:color w:val="333333"/>
          <w:szCs w:val="24"/>
          <w:shd w:val="clear" w:color="auto" w:fill="FFFFFF"/>
        </w:rPr>
        <w:t>しかしながら、個人が現預金で保有している金融資産を証券市場に誘導するには、それを仲介する年金・保険などの機関投資家を増やすしかなく、そのためには日本で完全に欠落している「個人年金」制度の拡大</w:t>
      </w:r>
      <w:r w:rsidR="007B3AB4">
        <w:rPr>
          <w:rFonts w:ascii="Segoe UI" w:hAnsi="Segoe UI" w:cs="Segoe UI" w:hint="eastAsia"/>
          <w:color w:val="333333"/>
          <w:szCs w:val="24"/>
          <w:shd w:val="clear" w:color="auto" w:fill="FFFFFF"/>
        </w:rPr>
        <w:t>を急ぐ</w:t>
      </w:r>
      <w:r>
        <w:rPr>
          <w:rFonts w:ascii="Segoe UI" w:hAnsi="Segoe UI" w:cs="Segoe UI" w:hint="eastAsia"/>
          <w:color w:val="333333"/>
          <w:szCs w:val="24"/>
          <w:shd w:val="clear" w:color="auto" w:fill="FFFFFF"/>
        </w:rPr>
        <w:t>しかない。公的年金は積立て方式ではなく、賦課方式であり、かつ先細りの方向にあるので、資産運用拡大の対象とはならない。</w:t>
      </w:r>
      <w:r w:rsidR="00652716">
        <w:rPr>
          <w:rFonts w:hAnsi="ＭＳ 明朝" w:hint="eastAsia"/>
          <w:color w:val="000000"/>
          <w:szCs w:val="24"/>
        </w:rPr>
        <w:t xml:space="preserve">　</w:t>
      </w:r>
    </w:p>
    <w:p w14:paraId="2E0CDEB7" w14:textId="1F5E7D45" w:rsidR="00A213CA" w:rsidRDefault="00D25F55" w:rsidP="00652716">
      <w:pPr>
        <w:ind w:firstLine="240"/>
        <w:rPr>
          <w:rFonts w:hAnsi="ＭＳ 明朝" w:hint="eastAsia"/>
          <w:color w:val="000000"/>
          <w:szCs w:val="24"/>
        </w:rPr>
      </w:pPr>
      <w:r>
        <w:rPr>
          <w:rFonts w:hAnsi="ＭＳ 明朝" w:hint="eastAsia"/>
          <w:color w:val="000000"/>
          <w:szCs w:val="24"/>
        </w:rPr>
        <w:t>ところが、わが国の私的年金は制度発足後20年を経ても、企業型・個人型併せて加入者数9百万人、残高16兆円（2020年3月末）と米・英などに比べて</w:t>
      </w:r>
      <w:r w:rsidR="003C6C7F">
        <w:rPr>
          <w:rFonts w:hAnsi="ＭＳ 明朝" w:hint="eastAsia"/>
          <w:color w:val="000000"/>
          <w:szCs w:val="24"/>
        </w:rPr>
        <w:t>ごく</w:t>
      </w:r>
      <w:r>
        <w:rPr>
          <w:rFonts w:hAnsi="ＭＳ 明朝" w:hint="eastAsia"/>
          <w:color w:val="000000"/>
          <w:szCs w:val="24"/>
        </w:rPr>
        <w:t>わずかな額に留まっており、OECDは</w:t>
      </w:r>
      <w:r w:rsidR="00143D83">
        <w:rPr>
          <w:rFonts w:hAnsi="ＭＳ 明朝" w:hint="eastAsia"/>
          <w:color w:val="000000"/>
          <w:szCs w:val="24"/>
        </w:rPr>
        <w:t>いまだに日本を</w:t>
      </w:r>
      <w:r>
        <w:rPr>
          <w:rFonts w:hAnsi="ＭＳ 明朝" w:hint="eastAsia"/>
          <w:color w:val="000000"/>
          <w:szCs w:val="24"/>
        </w:rPr>
        <w:t>所得代替率</w:t>
      </w:r>
      <w:r w:rsidR="00143D83">
        <w:rPr>
          <w:rFonts w:hAnsi="ＭＳ 明朝" w:hint="eastAsia"/>
          <w:color w:val="000000"/>
          <w:szCs w:val="24"/>
        </w:rPr>
        <w:t>（年金額が現役世代の手取り収入額に対してどのくらいの割合かを示す指標）</w:t>
      </w:r>
      <w:r>
        <w:rPr>
          <w:rFonts w:hAnsi="ＭＳ 明朝" w:hint="eastAsia"/>
          <w:color w:val="000000"/>
          <w:szCs w:val="24"/>
        </w:rPr>
        <w:t>の計算対象となる</w:t>
      </w:r>
      <w:r w:rsidR="003C6C7F">
        <w:rPr>
          <w:rFonts w:hAnsi="ＭＳ 明朝" w:hint="eastAsia"/>
          <w:color w:val="000000"/>
          <w:szCs w:val="24"/>
        </w:rPr>
        <w:t>国と認めていない。（図3）</w:t>
      </w:r>
    </w:p>
    <w:p w14:paraId="39AC5F2A" w14:textId="37C6E775" w:rsidR="00A213CA" w:rsidRDefault="00A213CA" w:rsidP="00A213CA">
      <w:pPr>
        <w:ind w:firstLine="240"/>
        <w:jc w:val="center"/>
        <w:rPr>
          <w:rFonts w:hAnsi="ＭＳ 明朝"/>
          <w:color w:val="000000"/>
          <w:szCs w:val="24"/>
        </w:rPr>
      </w:pPr>
      <w:r>
        <w:rPr>
          <w:rFonts w:hAnsi="ＭＳ 明朝" w:hint="eastAsia"/>
          <w:noProof/>
          <w:color w:val="000000"/>
          <w:szCs w:val="24"/>
        </w:rPr>
        <w:drawing>
          <wp:inline distT="0" distB="0" distL="0" distR="0" wp14:anchorId="29CFF55D" wp14:editId="43F623D5">
            <wp:extent cx="2637707" cy="2905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643906" cy="2911953"/>
                    </a:xfrm>
                    <a:prstGeom prst="rect">
                      <a:avLst/>
                    </a:prstGeom>
                  </pic:spPr>
                </pic:pic>
              </a:graphicData>
            </a:graphic>
          </wp:inline>
        </w:drawing>
      </w:r>
    </w:p>
    <w:p w14:paraId="4959FEC6" w14:textId="55349A4D" w:rsidR="002361B5" w:rsidRDefault="00DD222A" w:rsidP="00BE2652">
      <w:pPr>
        <w:shd w:val="clear" w:color="auto" w:fill="FDFDFC"/>
        <w:spacing w:after="240"/>
        <w:ind w:firstLineChars="0" w:firstLine="240"/>
        <w:jc w:val="left"/>
        <w:rPr>
          <w:rFonts w:hAnsi="ＭＳ 明朝" w:cs="ＭＳ Ｐゴシック" w:hint="eastAsia"/>
          <w:color w:val="333333"/>
          <w:kern w:val="0"/>
          <w:szCs w:val="24"/>
        </w:rPr>
      </w:pPr>
      <w:r w:rsidRPr="003C6C7F">
        <w:rPr>
          <w:rFonts w:hAnsi="ＭＳ 明朝" w:cs="ＭＳ Ｐゴシック" w:hint="eastAsia"/>
          <w:color w:val="333333"/>
          <w:kern w:val="0"/>
          <w:szCs w:val="24"/>
        </w:rPr>
        <w:lastRenderedPageBreak/>
        <w:t>「揺りかごから墓場まで」政府が面倒を看るとしてきた英国は</w:t>
      </w:r>
      <w:r w:rsidR="00143D83">
        <w:rPr>
          <w:rFonts w:hAnsi="ＭＳ 明朝" w:cs="ＭＳ Ｐゴシック" w:hint="eastAsia"/>
          <w:color w:val="333333"/>
          <w:kern w:val="0"/>
          <w:szCs w:val="24"/>
        </w:rPr>
        <w:t>、</w:t>
      </w:r>
      <w:r w:rsidRPr="003C6C7F">
        <w:rPr>
          <w:rFonts w:hAnsi="ＭＳ 明朝" w:cs="ＭＳ Ｐゴシック" w:hint="eastAsia"/>
          <w:color w:val="333333"/>
          <w:kern w:val="0"/>
          <w:szCs w:val="24"/>
        </w:rPr>
        <w:t>ブレア政権下で180度方向転換して新たな年金法を制定し(2008年)、2018年までにすべての企業（雇用者）に</w:t>
      </w:r>
      <w:r w:rsidR="00BE2652" w:rsidRPr="003C6C7F">
        <w:rPr>
          <w:rFonts w:hAnsi="ＭＳ 明朝" w:cs="ＭＳ Ｐゴシック" w:hint="eastAsia"/>
          <w:color w:val="333333"/>
          <w:kern w:val="0"/>
          <w:szCs w:val="24"/>
        </w:rPr>
        <w:t>給与の最低8%</w:t>
      </w:r>
      <w:r w:rsidR="00BE2652">
        <w:rPr>
          <w:rFonts w:hAnsi="ＭＳ 明朝" w:cs="ＭＳ Ｐゴシック" w:hint="eastAsia"/>
          <w:color w:val="333333"/>
          <w:kern w:val="0"/>
          <w:szCs w:val="24"/>
        </w:rPr>
        <w:t>を折半</w:t>
      </w:r>
      <w:r w:rsidR="00BE2652" w:rsidRPr="003C6C7F">
        <w:rPr>
          <w:rFonts w:hAnsi="ＭＳ 明朝" w:cs="ＭＳ Ｐゴシック" w:hint="eastAsia"/>
          <w:color w:val="333333"/>
          <w:kern w:val="0"/>
          <w:szCs w:val="24"/>
        </w:rPr>
        <w:t>拠出</w:t>
      </w:r>
      <w:r w:rsidR="00BE2652">
        <w:rPr>
          <w:rFonts w:hAnsi="ＭＳ 明朝" w:cs="ＭＳ Ｐゴシック" w:hint="eastAsia"/>
          <w:color w:val="333333"/>
          <w:kern w:val="0"/>
          <w:szCs w:val="24"/>
        </w:rPr>
        <w:t>する</w:t>
      </w:r>
      <w:r w:rsidRPr="003C6C7F">
        <w:rPr>
          <w:rFonts w:hAnsi="ＭＳ 明朝" w:cs="ＭＳ Ｐゴシック" w:hint="eastAsia"/>
          <w:color w:val="333333"/>
          <w:kern w:val="0"/>
          <w:szCs w:val="24"/>
        </w:rPr>
        <w:t>私的年金への自動加入を</w:t>
      </w:r>
      <w:r w:rsidR="00BE2652">
        <w:rPr>
          <w:rFonts w:hAnsi="ＭＳ 明朝" w:cs="ＭＳ Ｐゴシック" w:hint="eastAsia"/>
          <w:color w:val="333333"/>
          <w:kern w:val="0"/>
          <w:szCs w:val="24"/>
        </w:rPr>
        <w:t>義務化</w:t>
      </w:r>
      <w:r w:rsidRPr="003C6C7F">
        <w:rPr>
          <w:rFonts w:hAnsi="ＭＳ 明朝" w:cs="ＭＳ Ｐゴシック" w:hint="eastAsia"/>
          <w:color w:val="333333"/>
          <w:kern w:val="0"/>
          <w:szCs w:val="24"/>
        </w:rPr>
        <w:t>した</w:t>
      </w:r>
      <w:r w:rsidR="003C6C7F" w:rsidRPr="003C6C7F">
        <w:rPr>
          <w:rFonts w:hAnsi="ＭＳ 明朝" w:cs="ＭＳ Ｐゴシック" w:hint="eastAsia"/>
          <w:color w:val="333333"/>
          <w:kern w:val="0"/>
          <w:szCs w:val="24"/>
        </w:rPr>
        <w:t>結果、すでに所得代替率では私的年金が公的年金を上回っている。</w:t>
      </w:r>
      <w:r w:rsidR="003C6C7F">
        <w:rPr>
          <w:rFonts w:hAnsi="ＭＳ 明朝" w:cs="ＭＳ Ｐゴシック"/>
          <w:color w:val="333333"/>
          <w:kern w:val="0"/>
          <w:szCs w:val="24"/>
        </w:rPr>
        <w:br/>
      </w:r>
      <w:r w:rsidR="003C6C7F">
        <w:rPr>
          <w:rFonts w:hAnsi="ＭＳ 明朝" w:cs="ＭＳ Ｐゴシック" w:hint="eastAsia"/>
          <w:color w:val="333333"/>
          <w:kern w:val="0"/>
          <w:szCs w:val="24"/>
        </w:rPr>
        <w:t xml:space="preserve">　わが国も全雇用主に私的年金への加入を義務化し、積立額を大幅に引き上げなければ、</w:t>
      </w:r>
      <w:r w:rsidR="00581CDB">
        <w:rPr>
          <w:rFonts w:hAnsi="ＭＳ 明朝" w:cs="ＭＳ Ｐゴシック" w:hint="eastAsia"/>
          <w:color w:val="333333"/>
          <w:kern w:val="0"/>
          <w:szCs w:val="24"/>
        </w:rPr>
        <w:t>何時まで経っても、</w:t>
      </w:r>
      <w:r w:rsidR="003C6C7F">
        <w:rPr>
          <w:rFonts w:hAnsi="ＭＳ 明朝" w:cs="ＭＳ Ｐゴシック" w:hint="eastAsia"/>
          <w:color w:val="333333"/>
          <w:kern w:val="0"/>
          <w:szCs w:val="24"/>
        </w:rPr>
        <w:t>資産運用会社にとって</w:t>
      </w:r>
      <w:r w:rsidR="00143D83">
        <w:rPr>
          <w:rFonts w:hAnsi="ＭＳ 明朝" w:cs="ＭＳ Ｐゴシック" w:hint="eastAsia"/>
          <w:color w:val="333333"/>
          <w:kern w:val="0"/>
          <w:szCs w:val="24"/>
        </w:rPr>
        <w:t>魅力のある国とはならない。</w:t>
      </w:r>
      <w:r w:rsidR="00BE2652">
        <w:rPr>
          <w:rFonts w:hAnsi="ＭＳ 明朝" w:cs="ＭＳ Ｐゴシック"/>
          <w:color w:val="333333"/>
          <w:kern w:val="0"/>
          <w:szCs w:val="24"/>
        </w:rPr>
        <w:br/>
      </w:r>
    </w:p>
    <w:p w14:paraId="514FEFD8" w14:textId="19586FA4" w:rsidR="002361B5" w:rsidRPr="002361B5" w:rsidRDefault="002361B5" w:rsidP="002361B5">
      <w:pPr>
        <w:shd w:val="clear" w:color="auto" w:fill="FDFDFC"/>
        <w:spacing w:after="240"/>
        <w:ind w:firstLineChars="0" w:firstLine="0"/>
        <w:jc w:val="left"/>
        <w:rPr>
          <w:rFonts w:hAnsi="ＭＳ 明朝" w:cs="ＭＳ Ｐゴシック" w:hint="eastAsia"/>
          <w:b/>
          <w:bCs/>
          <w:color w:val="333333"/>
          <w:kern w:val="0"/>
          <w:szCs w:val="24"/>
        </w:rPr>
      </w:pPr>
      <w:r w:rsidRPr="002361B5">
        <w:rPr>
          <w:rFonts w:hAnsi="ＭＳ 明朝" w:cs="ＭＳ Ｐゴシック" w:hint="eastAsia"/>
          <w:b/>
          <w:bCs/>
          <w:color w:val="333333"/>
          <w:kern w:val="0"/>
          <w:szCs w:val="24"/>
        </w:rPr>
        <w:t>金融センターへ</w:t>
      </w:r>
      <w:r w:rsidR="00BE2652">
        <w:rPr>
          <w:rFonts w:hAnsi="ＭＳ 明朝" w:cs="ＭＳ Ｐゴシック" w:hint="eastAsia"/>
          <w:b/>
          <w:bCs/>
          <w:color w:val="333333"/>
          <w:kern w:val="0"/>
          <w:szCs w:val="24"/>
        </w:rPr>
        <w:t>の</w:t>
      </w:r>
      <w:r w:rsidRPr="002361B5">
        <w:rPr>
          <w:rFonts w:hAnsi="ＭＳ 明朝" w:cs="ＭＳ Ｐゴシック" w:hint="eastAsia"/>
          <w:b/>
          <w:bCs/>
          <w:color w:val="333333"/>
          <w:kern w:val="0"/>
          <w:szCs w:val="24"/>
        </w:rPr>
        <w:t>多様な専門性の高い人材の誘致が不可欠</w:t>
      </w:r>
    </w:p>
    <w:p w14:paraId="2AD27AF3" w14:textId="3D904E38" w:rsidR="00652716" w:rsidRPr="00652716" w:rsidRDefault="002361B5" w:rsidP="005067FF">
      <w:pPr>
        <w:shd w:val="clear" w:color="auto" w:fill="FDFDFC"/>
        <w:spacing w:after="240"/>
        <w:ind w:firstLineChars="0" w:firstLine="0"/>
        <w:rPr>
          <w:rFonts w:hAnsi="ＭＳ 明朝"/>
          <w:szCs w:val="24"/>
        </w:rPr>
      </w:pPr>
      <w:r>
        <w:rPr>
          <w:rFonts w:ascii="メイリオ" w:eastAsia="メイリオ" w:hAnsi="メイリオ" w:cs="ＭＳ Ｐゴシック" w:hint="eastAsia"/>
          <w:color w:val="333333"/>
          <w:kern w:val="0"/>
          <w:szCs w:val="24"/>
        </w:rPr>
        <w:t xml:space="preserve">　</w:t>
      </w:r>
      <w:r w:rsidR="00094C4A" w:rsidRPr="00094C4A">
        <w:rPr>
          <w:rFonts w:hAnsi="ＭＳ 明朝" w:cs="ＭＳ Ｐゴシック" w:hint="eastAsia"/>
          <w:color w:val="333333"/>
          <w:kern w:val="0"/>
          <w:szCs w:val="24"/>
        </w:rPr>
        <w:t>センター</w:t>
      </w:r>
      <w:r w:rsidR="00094C4A">
        <w:rPr>
          <w:rFonts w:hAnsi="ＭＳ 明朝" w:cs="ＭＳ Ｐゴシック" w:hint="eastAsia"/>
          <w:color w:val="333333"/>
          <w:kern w:val="0"/>
          <w:szCs w:val="24"/>
        </w:rPr>
        <w:t>構想では大学と連携した高度人材育成プログラムを掲げているが、議論を重視しない日本の大学</w:t>
      </w:r>
      <w:r w:rsidR="005067FF">
        <w:rPr>
          <w:rFonts w:hAnsi="ＭＳ 明朝" w:cs="ＭＳ Ｐゴシック" w:hint="eastAsia"/>
          <w:color w:val="333333"/>
          <w:kern w:val="0"/>
          <w:szCs w:val="24"/>
        </w:rPr>
        <w:t>は</w:t>
      </w:r>
      <w:r w:rsidR="00094C4A">
        <w:rPr>
          <w:rFonts w:hAnsi="ＭＳ 明朝" w:cs="ＭＳ Ｐゴシック" w:hint="eastAsia"/>
          <w:color w:val="333333"/>
          <w:kern w:val="0"/>
          <w:szCs w:val="24"/>
        </w:rPr>
        <w:t>国際的な評価</w:t>
      </w:r>
      <w:r w:rsidR="005067FF">
        <w:rPr>
          <w:rFonts w:hAnsi="ＭＳ 明朝" w:cs="ＭＳ Ｐゴシック" w:hint="eastAsia"/>
          <w:color w:val="333333"/>
          <w:kern w:val="0"/>
          <w:szCs w:val="24"/>
        </w:rPr>
        <w:t>を</w:t>
      </w:r>
      <w:r w:rsidR="00094C4A">
        <w:rPr>
          <w:rFonts w:hAnsi="ＭＳ 明朝" w:cs="ＭＳ Ｐゴシック" w:hint="eastAsia"/>
          <w:color w:val="333333"/>
          <w:kern w:val="0"/>
          <w:szCs w:val="24"/>
        </w:rPr>
        <w:t>下</w:t>
      </w:r>
      <w:r w:rsidR="005067FF">
        <w:rPr>
          <w:rFonts w:hAnsi="ＭＳ 明朝" w:cs="ＭＳ Ｐゴシック" w:hint="eastAsia"/>
          <w:color w:val="333333"/>
          <w:kern w:val="0"/>
          <w:szCs w:val="24"/>
        </w:rPr>
        <w:t>げ</w:t>
      </w:r>
      <w:r w:rsidR="00094C4A">
        <w:rPr>
          <w:rFonts w:hAnsi="ＭＳ 明朝" w:cs="ＭＳ Ｐゴシック" w:hint="eastAsia"/>
          <w:color w:val="333333"/>
          <w:kern w:val="0"/>
          <w:szCs w:val="24"/>
        </w:rPr>
        <w:t>続けて</w:t>
      </w:r>
      <w:r w:rsidR="005067FF">
        <w:rPr>
          <w:rFonts w:hAnsi="ＭＳ 明朝" w:cs="ＭＳ Ｐゴシック" w:hint="eastAsia"/>
          <w:color w:val="333333"/>
          <w:kern w:val="0"/>
          <w:szCs w:val="24"/>
        </w:rPr>
        <w:t>いる。</w:t>
      </w:r>
      <w:r w:rsidR="00B67F02">
        <w:rPr>
          <w:rFonts w:hAnsi="ＭＳ 明朝" w:cs="ＭＳ Ｐゴシック" w:hint="eastAsia"/>
          <w:color w:val="333333"/>
          <w:kern w:val="0"/>
          <w:szCs w:val="24"/>
        </w:rPr>
        <w:t>森記念財団都市戦略研究所が世界の主要48都市を評価した結果でも「優秀な人材確保の容易性」指標のランクは38位と、他の指標に比してきわめて低い。</w:t>
      </w:r>
      <w:r w:rsidR="00B67F02">
        <w:rPr>
          <w:rFonts w:hAnsi="ＭＳ 明朝" w:cs="ＭＳ Ｐゴシック"/>
          <w:color w:val="333333"/>
          <w:kern w:val="0"/>
          <w:szCs w:val="24"/>
        </w:rPr>
        <w:br/>
      </w:r>
      <w:r w:rsidR="00B67F02">
        <w:rPr>
          <w:rFonts w:hAnsi="ＭＳ 明朝" w:cs="ＭＳ Ｐゴシック" w:hint="eastAsia"/>
          <w:color w:val="333333"/>
          <w:kern w:val="0"/>
          <w:szCs w:val="24"/>
        </w:rPr>
        <w:t xml:space="preserve">　</w:t>
      </w:r>
      <w:r w:rsidR="0033018D">
        <w:rPr>
          <w:rFonts w:hAnsi="ＭＳ 明朝" w:cs="ＭＳ Ｐゴシック" w:hint="eastAsia"/>
          <w:color w:val="333333"/>
          <w:kern w:val="0"/>
          <w:szCs w:val="24"/>
        </w:rPr>
        <w:t>そもそも、</w:t>
      </w:r>
      <w:r w:rsidR="00B67F02">
        <w:rPr>
          <w:rFonts w:hAnsi="ＭＳ 明朝" w:cs="ＭＳ Ｐゴシック" w:hint="eastAsia"/>
          <w:color w:val="333333"/>
          <w:kern w:val="0"/>
          <w:szCs w:val="24"/>
        </w:rPr>
        <w:t>優秀な</w:t>
      </w:r>
      <w:r w:rsidR="00094C4A">
        <w:rPr>
          <w:rFonts w:hAnsi="ＭＳ 明朝" w:cs="ＭＳ Ｐゴシック" w:hint="eastAsia"/>
          <w:color w:val="333333"/>
          <w:kern w:val="0"/>
          <w:szCs w:val="24"/>
        </w:rPr>
        <w:t>金融人材</w:t>
      </w:r>
      <w:r w:rsidR="005067FF">
        <w:rPr>
          <w:rFonts w:hAnsi="ＭＳ 明朝" w:cs="ＭＳ Ｐゴシック" w:hint="eastAsia"/>
          <w:color w:val="333333"/>
          <w:kern w:val="0"/>
          <w:szCs w:val="24"/>
        </w:rPr>
        <w:t>の確保には、</w:t>
      </w:r>
      <w:r w:rsidR="00094C4A">
        <w:rPr>
          <w:rFonts w:hAnsi="ＭＳ 明朝" w:cs="ＭＳ Ｐゴシック" w:hint="eastAsia"/>
          <w:color w:val="333333"/>
          <w:kern w:val="0"/>
          <w:szCs w:val="24"/>
        </w:rPr>
        <w:t>専門性の高い外国人を</w:t>
      </w:r>
      <w:r w:rsidR="005067FF">
        <w:rPr>
          <w:rFonts w:hAnsi="ＭＳ 明朝" w:cs="ＭＳ Ｐゴシック" w:hint="eastAsia"/>
          <w:color w:val="333333"/>
          <w:kern w:val="0"/>
          <w:szCs w:val="24"/>
        </w:rPr>
        <w:t>海外から積極的に</w:t>
      </w:r>
      <w:r w:rsidR="00094C4A">
        <w:rPr>
          <w:rFonts w:hAnsi="ＭＳ 明朝" w:cs="ＭＳ Ｐゴシック" w:hint="eastAsia"/>
          <w:color w:val="333333"/>
          <w:kern w:val="0"/>
          <w:szCs w:val="24"/>
        </w:rPr>
        <w:t>誘致する</w:t>
      </w:r>
      <w:r w:rsidR="00BE2652">
        <w:rPr>
          <w:rFonts w:hAnsi="ＭＳ 明朝" w:cs="ＭＳ Ｐゴシック" w:hint="eastAsia"/>
          <w:color w:val="333333"/>
          <w:kern w:val="0"/>
          <w:szCs w:val="24"/>
        </w:rPr>
        <w:t>のが即効性のある施策である</w:t>
      </w:r>
      <w:r w:rsidR="00094C4A">
        <w:rPr>
          <w:rFonts w:hAnsi="ＭＳ 明朝" w:cs="ＭＳ Ｐゴシック" w:hint="eastAsia"/>
          <w:color w:val="333333"/>
          <w:kern w:val="0"/>
          <w:szCs w:val="24"/>
        </w:rPr>
        <w:t>。</w:t>
      </w:r>
      <w:r w:rsidR="00AA11D4">
        <w:rPr>
          <w:rFonts w:hAnsi="ＭＳ 明朝" w:cs="ＭＳ Ｐゴシック" w:hint="eastAsia"/>
          <w:color w:val="333333"/>
          <w:kern w:val="0"/>
          <w:szCs w:val="24"/>
        </w:rPr>
        <w:t>筆者が1980年代に銀行子会社としてロンドンに設立した総勢30名ほどのデリバティブ専門会社が雇ったスタッフ</w:t>
      </w:r>
      <w:r w:rsidR="0033018D">
        <w:rPr>
          <w:rFonts w:hAnsi="ＭＳ 明朝" w:cs="ＭＳ Ｐゴシック" w:hint="eastAsia"/>
          <w:color w:val="333333"/>
          <w:kern w:val="0"/>
          <w:szCs w:val="24"/>
        </w:rPr>
        <w:t>の</w:t>
      </w:r>
      <w:r w:rsidR="00AA11D4">
        <w:rPr>
          <w:rFonts w:hAnsi="ＭＳ 明朝" w:cs="ＭＳ Ｐゴシック" w:hint="eastAsia"/>
          <w:color w:val="333333"/>
          <w:kern w:val="0"/>
          <w:szCs w:val="24"/>
        </w:rPr>
        <w:t>国籍</w:t>
      </w:r>
      <w:r w:rsidR="005067FF">
        <w:rPr>
          <w:rFonts w:hAnsi="ＭＳ 明朝" w:cs="ＭＳ Ｐゴシック" w:hint="eastAsia"/>
          <w:color w:val="333333"/>
          <w:kern w:val="0"/>
          <w:szCs w:val="24"/>
        </w:rPr>
        <w:t>は10カ国</w:t>
      </w:r>
      <w:r w:rsidR="00AA11D4">
        <w:rPr>
          <w:rFonts w:hAnsi="ＭＳ 明朝" w:cs="ＭＳ Ｐゴシック" w:hint="eastAsia"/>
          <w:color w:val="333333"/>
          <w:kern w:val="0"/>
          <w:szCs w:val="24"/>
        </w:rPr>
        <w:t>に岐</w:t>
      </w:r>
      <w:r w:rsidR="00B67F02">
        <w:rPr>
          <w:rFonts w:hAnsi="ＭＳ 明朝" w:cs="ＭＳ Ｐゴシック" w:hint="eastAsia"/>
          <w:color w:val="333333"/>
          <w:kern w:val="0"/>
          <w:szCs w:val="24"/>
        </w:rPr>
        <w:t>か</w:t>
      </w:r>
      <w:r w:rsidR="00AA11D4">
        <w:rPr>
          <w:rFonts w:hAnsi="ＭＳ 明朝" w:cs="ＭＳ Ｐゴシック" w:hint="eastAsia"/>
          <w:color w:val="333333"/>
          <w:kern w:val="0"/>
          <w:szCs w:val="24"/>
        </w:rPr>
        <w:t xml:space="preserve">れていた。　</w:t>
      </w:r>
      <w:r w:rsidR="00AA11D4">
        <w:rPr>
          <w:rFonts w:hAnsi="ＭＳ 明朝" w:cs="ＭＳ Ｐゴシック"/>
          <w:color w:val="333333"/>
          <w:kern w:val="0"/>
          <w:szCs w:val="24"/>
        </w:rPr>
        <w:br/>
      </w:r>
      <w:r w:rsidR="00AA11D4">
        <w:rPr>
          <w:rFonts w:hAnsi="ＭＳ 明朝" w:cs="ＭＳ Ｐゴシック" w:hint="eastAsia"/>
          <w:color w:val="333333"/>
          <w:kern w:val="0"/>
          <w:szCs w:val="24"/>
        </w:rPr>
        <w:t xml:space="preserve">　高給取りの外国人を東京へ引き付けるのには、累進制の高い個人所得税を1/2に減免するといった優遇策が最も効果的である。個人所得税の最高税率が73%と高かった</w:t>
      </w:r>
      <w:r w:rsidR="00AA11D4">
        <w:rPr>
          <w:rFonts w:hAnsi="ＭＳ 明朝" w:cs="ＭＳ Ｐゴシック" w:hint="eastAsia"/>
          <w:color w:val="333333"/>
          <w:kern w:val="0"/>
          <w:szCs w:val="24"/>
        </w:rPr>
        <w:t>1970年代の</w:t>
      </w:r>
      <w:r w:rsidR="00BE2652">
        <w:rPr>
          <w:rFonts w:hAnsi="ＭＳ 明朝" w:cs="ＭＳ Ｐゴシック" w:hint="eastAsia"/>
          <w:color w:val="333333"/>
          <w:kern w:val="0"/>
          <w:szCs w:val="24"/>
        </w:rPr>
        <w:t>英国</w:t>
      </w:r>
      <w:r w:rsidR="00AA11D4">
        <w:rPr>
          <w:rFonts w:hAnsi="ＭＳ 明朝" w:cs="ＭＳ Ｐゴシック" w:hint="eastAsia"/>
          <w:color w:val="333333"/>
          <w:kern w:val="0"/>
          <w:szCs w:val="24"/>
        </w:rPr>
        <w:t>では</w:t>
      </w:r>
      <w:r w:rsidR="00AA11D4">
        <w:rPr>
          <w:rFonts w:hAnsi="ＭＳ 明朝" w:cs="ＭＳ Ｐゴシック" w:hint="eastAsia"/>
          <w:color w:val="333333"/>
          <w:kern w:val="0"/>
          <w:szCs w:val="24"/>
        </w:rPr>
        <w:t>、外国</w:t>
      </w:r>
      <w:r w:rsidR="005067FF">
        <w:rPr>
          <w:rFonts w:hAnsi="ＭＳ 明朝" w:cs="ＭＳ Ｐゴシック" w:hint="eastAsia"/>
          <w:color w:val="333333"/>
          <w:kern w:val="0"/>
          <w:szCs w:val="24"/>
        </w:rPr>
        <w:t>籍</w:t>
      </w:r>
      <w:r w:rsidR="00AA11D4">
        <w:rPr>
          <w:rFonts w:hAnsi="ＭＳ 明朝" w:cs="ＭＳ Ｐゴシック" w:hint="eastAsia"/>
          <w:color w:val="333333"/>
          <w:kern w:val="0"/>
          <w:szCs w:val="24"/>
        </w:rPr>
        <w:t>人の</w:t>
      </w:r>
      <w:r w:rsidR="005067FF">
        <w:rPr>
          <w:rFonts w:hAnsi="ＭＳ 明朝" w:cs="ＭＳ Ｐゴシック" w:hint="eastAsia"/>
          <w:color w:val="333333"/>
          <w:kern w:val="0"/>
          <w:szCs w:val="24"/>
        </w:rPr>
        <w:t>個人所得税率を1/2とする優遇策が講じられており、これが実効を挙げていた。専門性の高い外国人を純増で受け</w:t>
      </w:r>
      <w:r w:rsidR="00BE2652">
        <w:rPr>
          <w:rFonts w:hAnsi="ＭＳ 明朝" w:cs="ＭＳ Ｐゴシック" w:hint="eastAsia"/>
          <w:color w:val="333333"/>
          <w:kern w:val="0"/>
          <w:szCs w:val="24"/>
        </w:rPr>
        <w:t>入れる</w:t>
      </w:r>
      <w:r w:rsidR="005067FF">
        <w:rPr>
          <w:rFonts w:hAnsi="ＭＳ 明朝" w:cs="ＭＳ Ｐゴシック" w:hint="eastAsia"/>
          <w:color w:val="333333"/>
          <w:kern w:val="0"/>
          <w:szCs w:val="24"/>
        </w:rPr>
        <w:t>のであるから、政府にとっては税収増となり、</w:t>
      </w:r>
      <w:r w:rsidR="00BE2652">
        <w:rPr>
          <w:rFonts w:hAnsi="ＭＳ 明朝" w:cs="ＭＳ Ｐゴシック" w:hint="eastAsia"/>
          <w:color w:val="333333"/>
          <w:kern w:val="0"/>
          <w:szCs w:val="24"/>
        </w:rPr>
        <w:t>減免しても</w:t>
      </w:r>
      <w:r w:rsidR="005067FF">
        <w:rPr>
          <w:rFonts w:hAnsi="ＭＳ 明朝" w:cs="ＭＳ Ｐゴシック" w:hint="eastAsia"/>
          <w:color w:val="333333"/>
          <w:kern w:val="0"/>
          <w:szCs w:val="24"/>
        </w:rPr>
        <w:t>損にはならない。</w:t>
      </w:r>
    </w:p>
    <w:p w14:paraId="320E6F2D" w14:textId="77777777" w:rsidR="0033018D" w:rsidRDefault="0033018D" w:rsidP="00E10BF5">
      <w:pPr>
        <w:ind w:firstLineChars="0" w:firstLine="0"/>
        <w:rPr>
          <w:rFonts w:hAnsi="ＭＳ 明朝"/>
          <w:b/>
          <w:bCs/>
          <w:szCs w:val="24"/>
        </w:rPr>
      </w:pPr>
    </w:p>
    <w:p w14:paraId="01BF4871" w14:textId="222F15B3" w:rsidR="007A3AFA" w:rsidRDefault="00AA7F05" w:rsidP="00E10BF5">
      <w:pPr>
        <w:ind w:firstLineChars="0" w:firstLine="0"/>
        <w:rPr>
          <w:rFonts w:hAnsi="ＭＳ 明朝"/>
          <w:b/>
          <w:bCs/>
          <w:szCs w:val="24"/>
        </w:rPr>
      </w:pPr>
      <w:r>
        <w:rPr>
          <w:rFonts w:hAnsi="ＭＳ 明朝" w:hint="eastAsia"/>
          <w:b/>
          <w:bCs/>
          <w:szCs w:val="24"/>
        </w:rPr>
        <w:t>英文の</w:t>
      </w:r>
      <w:r w:rsidR="0033018D" w:rsidRPr="0033018D">
        <w:rPr>
          <w:rFonts w:hAnsi="ＭＳ 明朝" w:hint="eastAsia"/>
          <w:b/>
          <w:bCs/>
          <w:szCs w:val="24"/>
        </w:rPr>
        <w:t>目論見書など金融関連文書</w:t>
      </w:r>
      <w:r>
        <w:rPr>
          <w:rFonts w:hAnsi="ＭＳ 明朝" w:hint="eastAsia"/>
          <w:b/>
          <w:bCs/>
          <w:szCs w:val="24"/>
        </w:rPr>
        <w:t>の</w:t>
      </w:r>
      <w:r w:rsidR="0033018D" w:rsidRPr="0033018D">
        <w:rPr>
          <w:rFonts w:hAnsi="ＭＳ 明朝" w:hint="eastAsia"/>
          <w:b/>
          <w:bCs/>
          <w:szCs w:val="24"/>
        </w:rPr>
        <w:t>受け入れ</w:t>
      </w:r>
      <w:r w:rsidR="00C31FBC">
        <w:rPr>
          <w:rFonts w:hAnsi="ＭＳ 明朝" w:hint="eastAsia"/>
          <w:b/>
          <w:bCs/>
          <w:szCs w:val="24"/>
        </w:rPr>
        <w:t>強制</w:t>
      </w:r>
      <w:r>
        <w:rPr>
          <w:rFonts w:hAnsi="ＭＳ 明朝" w:hint="eastAsia"/>
          <w:b/>
          <w:bCs/>
          <w:szCs w:val="24"/>
        </w:rPr>
        <w:t>を</w:t>
      </w:r>
    </w:p>
    <w:p w14:paraId="0879CC0C" w14:textId="4395AEDE" w:rsidR="00AA7F05" w:rsidRDefault="00AA7F05" w:rsidP="00E10BF5">
      <w:pPr>
        <w:ind w:firstLineChars="0" w:firstLine="0"/>
        <w:rPr>
          <w:rFonts w:hAnsi="ＭＳ 明朝"/>
          <w:b/>
          <w:bCs/>
          <w:szCs w:val="24"/>
        </w:rPr>
      </w:pPr>
    </w:p>
    <w:p w14:paraId="60625190" w14:textId="6C025C10" w:rsidR="00AA7F05" w:rsidRDefault="00AA7F05" w:rsidP="00E10BF5">
      <w:pPr>
        <w:ind w:firstLineChars="0" w:firstLine="0"/>
        <w:rPr>
          <w:rFonts w:hAnsi="ＭＳ 明朝"/>
          <w:szCs w:val="24"/>
        </w:rPr>
      </w:pPr>
      <w:r>
        <w:rPr>
          <w:rFonts w:hAnsi="ＭＳ 明朝" w:hint="eastAsia"/>
          <w:b/>
          <w:bCs/>
          <w:szCs w:val="24"/>
        </w:rPr>
        <w:t xml:space="preserve">　</w:t>
      </w:r>
      <w:r w:rsidRPr="00AA7F05">
        <w:rPr>
          <w:rFonts w:hAnsi="ＭＳ 明朝" w:hint="eastAsia"/>
          <w:szCs w:val="24"/>
        </w:rPr>
        <w:t>外国の証券会社や資産運用会社、さらには専門性の高い人材が</w:t>
      </w:r>
      <w:r>
        <w:rPr>
          <w:rFonts w:hAnsi="ＭＳ 明朝" w:hint="eastAsia"/>
          <w:szCs w:val="24"/>
        </w:rPr>
        <w:t>、東京のビジネス・インフラを「差別的」と感じている最大の理由は英語の文書だけでは何事も進まず、日本語への翻訳が事実上強要されている点にある。英語が国語ではないスイスやドイツでも金融取引は英語で完結できている。</w:t>
      </w:r>
    </w:p>
    <w:p w14:paraId="3192B458" w14:textId="168CACEE" w:rsidR="00AA7F05" w:rsidRPr="00AA7F05" w:rsidRDefault="00AA7F05" w:rsidP="00E10BF5">
      <w:pPr>
        <w:ind w:firstLineChars="0" w:firstLine="0"/>
        <w:rPr>
          <w:rFonts w:hAnsi="ＭＳ 明朝" w:hint="eastAsia"/>
          <w:szCs w:val="24"/>
        </w:rPr>
      </w:pPr>
      <w:r>
        <w:rPr>
          <w:rFonts w:hAnsi="ＭＳ 明朝" w:hint="eastAsia"/>
          <w:szCs w:val="24"/>
        </w:rPr>
        <w:t xml:space="preserve">　日本でも官公庁は申請書や報告書類を英文だけで受け入れるようになってきたが、証券会社や個人投資家には英文書類への抵抗感が強い</w:t>
      </w:r>
      <w:r w:rsidR="00C31FBC">
        <w:rPr>
          <w:rFonts w:hAnsi="ＭＳ 明朝" w:hint="eastAsia"/>
          <w:szCs w:val="24"/>
        </w:rPr>
        <w:t>。金融商品取引法は目論見書や運用報告書の言語を日本語に限るとは規定していないので、金融庁が音頭をとって日本語版に加えて英語版も翻訳することなく受け入れるよう金融関係者に徹底する措置を講じていただきたい。</w:t>
      </w:r>
      <w:r w:rsidR="005263C7">
        <w:rPr>
          <w:rFonts w:hAnsi="ＭＳ 明朝"/>
          <w:szCs w:val="24"/>
        </w:rPr>
        <w:br/>
      </w:r>
    </w:p>
    <w:p w14:paraId="2895EBD9" w14:textId="77777777" w:rsidR="0033018D" w:rsidRDefault="0033018D" w:rsidP="00E10BF5">
      <w:pPr>
        <w:ind w:firstLineChars="0" w:firstLine="0"/>
        <w:rPr>
          <w:rFonts w:hAnsi="ＭＳ 明朝"/>
          <w:szCs w:val="24"/>
        </w:rPr>
      </w:pPr>
    </w:p>
    <w:p w14:paraId="4CF62E87" w14:textId="54EFDBC2" w:rsidR="00E10BF5" w:rsidRPr="005263C7" w:rsidRDefault="00FD267A" w:rsidP="00E10BF5">
      <w:pPr>
        <w:ind w:firstLineChars="0" w:firstLine="0"/>
        <w:rPr>
          <w:rFonts w:hAnsi="ＭＳ 明朝"/>
          <w:b/>
          <w:bCs/>
          <w:szCs w:val="24"/>
        </w:rPr>
      </w:pPr>
      <w:r w:rsidRPr="005263C7">
        <w:rPr>
          <w:rFonts w:hAnsi="ＭＳ 明朝" w:hint="eastAsia"/>
          <w:b/>
          <w:bCs/>
          <w:szCs w:val="24"/>
        </w:rPr>
        <w:t>東京に米ドル</w:t>
      </w:r>
      <w:r w:rsidR="005263C7">
        <w:rPr>
          <w:rFonts w:hAnsi="ＭＳ 明朝" w:hint="eastAsia"/>
          <w:b/>
          <w:bCs/>
          <w:szCs w:val="24"/>
        </w:rPr>
        <w:t>決済・</w:t>
      </w:r>
      <w:r w:rsidRPr="005263C7">
        <w:rPr>
          <w:rFonts w:hAnsi="ＭＳ 明朝" w:hint="eastAsia"/>
          <w:b/>
          <w:bCs/>
          <w:szCs w:val="24"/>
        </w:rPr>
        <w:t>流通市場の創設を</w:t>
      </w:r>
    </w:p>
    <w:p w14:paraId="1C4DEA72" w14:textId="7427CD5C" w:rsidR="00FD267A" w:rsidRDefault="00FD267A" w:rsidP="00E10BF5">
      <w:pPr>
        <w:ind w:firstLineChars="0" w:firstLine="0"/>
        <w:rPr>
          <w:rFonts w:hAnsi="ＭＳ 明朝"/>
          <w:szCs w:val="24"/>
        </w:rPr>
      </w:pPr>
    </w:p>
    <w:p w14:paraId="188F2B51" w14:textId="217660AC" w:rsidR="00FD267A" w:rsidRDefault="00FD267A" w:rsidP="00FD267A">
      <w:pPr>
        <w:ind w:firstLine="240"/>
      </w:pPr>
      <w:r>
        <w:t>香港の国際金融センターとしての高いプレゼンスの背景には、アジアにおいて国際的な基軸通貨である米ドル取引が活発であることが挙げら</w:t>
      </w:r>
      <w:r w:rsidR="00B857D2">
        <w:rPr>
          <w:rFonts w:hint="eastAsia"/>
        </w:rPr>
        <w:t>れ</w:t>
      </w:r>
      <w:r>
        <w:rPr>
          <w:rFonts w:hint="eastAsia"/>
        </w:rPr>
        <w:t>る</w:t>
      </w:r>
      <w:r>
        <w:t>。</w:t>
      </w:r>
      <w:r>
        <w:rPr>
          <w:rFonts w:hint="eastAsia"/>
        </w:rPr>
        <w:t>香港では、香港ドル、人民元、米ドル、ユーロの4通貨のインターバンクでの決済機構が存在し、2019年では米ドルが13%を占めている。</w:t>
      </w:r>
    </w:p>
    <w:p w14:paraId="3365ED7D" w14:textId="524797AC" w:rsidR="00FD267A" w:rsidRDefault="00FD267A" w:rsidP="00FD267A">
      <w:pPr>
        <w:ind w:firstLine="240"/>
      </w:pPr>
      <w:r>
        <w:rPr>
          <w:rFonts w:hint="eastAsia"/>
        </w:rPr>
        <w:t>日本では米ドルの国内決済機構</w:t>
      </w:r>
      <w:r w:rsidR="005263C7">
        <w:rPr>
          <w:rFonts w:hint="eastAsia"/>
        </w:rPr>
        <w:t>創設</w:t>
      </w:r>
      <w:r w:rsidR="00B857D2">
        <w:rPr>
          <w:rFonts w:hint="eastAsia"/>
        </w:rPr>
        <w:t>が</w:t>
      </w:r>
      <w:r>
        <w:rPr>
          <w:rFonts w:hint="eastAsia"/>
        </w:rPr>
        <w:t>構想された形跡</w:t>
      </w:r>
      <w:r w:rsidR="00BE2652">
        <w:rPr>
          <w:rFonts w:hint="eastAsia"/>
        </w:rPr>
        <w:t>はない。</w:t>
      </w:r>
      <w:r>
        <w:rPr>
          <w:rFonts w:hint="eastAsia"/>
        </w:rPr>
        <w:t>国内での米ドル送金も国外への</w:t>
      </w:r>
      <w:r w:rsidR="005263C7">
        <w:rPr>
          <w:rFonts w:hint="eastAsia"/>
        </w:rPr>
        <w:t>外貨</w:t>
      </w:r>
      <w:r>
        <w:rPr>
          <w:rFonts w:hint="eastAsia"/>
        </w:rPr>
        <w:t>送金と同様に取り扱われており、</w:t>
      </w:r>
      <w:r w:rsidR="005263C7">
        <w:rPr>
          <w:rFonts w:hint="eastAsia"/>
        </w:rPr>
        <w:t>個人投資家にとっても</w:t>
      </w:r>
      <w:r w:rsidR="008D49B4">
        <w:rPr>
          <w:rFonts w:hint="eastAsia"/>
        </w:rPr>
        <w:t>外貨投資への大きな制約要因となっている。</w:t>
      </w:r>
      <w:r w:rsidR="008D49B4">
        <w:br/>
      </w:r>
      <w:r w:rsidR="008D49B4">
        <w:rPr>
          <w:rFonts w:hint="eastAsia"/>
        </w:rPr>
        <w:t xml:space="preserve">　同一ビル内にある三井住友銀行</w:t>
      </w:r>
      <w:r w:rsidR="005263C7">
        <w:rPr>
          <w:rFonts w:hint="eastAsia"/>
        </w:rPr>
        <w:t>の支店</w:t>
      </w:r>
      <w:r w:rsidR="008D49B4">
        <w:rPr>
          <w:rFonts w:hint="eastAsia"/>
        </w:rPr>
        <w:t>からSMBC日興証券へ米ドルの送金を行うにも</w:t>
      </w:r>
      <w:r w:rsidR="005263C7">
        <w:rPr>
          <w:rFonts w:hint="eastAsia"/>
        </w:rPr>
        <w:t>、店頭での</w:t>
      </w:r>
      <w:r w:rsidR="008D49B4">
        <w:rPr>
          <w:rFonts w:hint="eastAsia"/>
        </w:rPr>
        <w:t>外国送金の依頼</w:t>
      </w:r>
      <w:r w:rsidR="005263C7">
        <w:rPr>
          <w:rFonts w:hint="eastAsia"/>
        </w:rPr>
        <w:t>手続き</w:t>
      </w:r>
      <w:r w:rsidR="008D49B4">
        <w:rPr>
          <w:rFonts w:hint="eastAsia"/>
        </w:rPr>
        <w:t>が必要で</w:t>
      </w:r>
      <w:r w:rsidR="005263C7">
        <w:rPr>
          <w:rFonts w:hint="eastAsia"/>
        </w:rPr>
        <w:t>ある。</w:t>
      </w:r>
      <w:r w:rsidR="008D49B4">
        <w:rPr>
          <w:rFonts w:hint="eastAsia"/>
        </w:rPr>
        <w:t>インターネット取引ではマネーロンダリング規制</w:t>
      </w:r>
      <w:r w:rsidR="005263C7">
        <w:rPr>
          <w:rFonts w:hint="eastAsia"/>
        </w:rPr>
        <w:t>ということ</w:t>
      </w:r>
      <w:r w:rsidR="008D49B4">
        <w:rPr>
          <w:rFonts w:hint="eastAsia"/>
        </w:rPr>
        <w:t>で1回の送金額が3百万円、1か月間の送金額が5百万円に制限されている。</w:t>
      </w:r>
    </w:p>
    <w:p w14:paraId="5311E2A1" w14:textId="3CCCF603" w:rsidR="008D49B4" w:rsidRDefault="008D49B4" w:rsidP="00FD267A">
      <w:pPr>
        <w:ind w:firstLine="240"/>
        <w:rPr>
          <w:rFonts w:hint="eastAsia"/>
        </w:rPr>
      </w:pPr>
      <w:r>
        <w:rPr>
          <w:rFonts w:hint="eastAsia"/>
        </w:rPr>
        <w:t>国際金融センターを標榜するからには、</w:t>
      </w:r>
      <w:r w:rsidR="005263C7">
        <w:rPr>
          <w:rFonts w:hint="eastAsia"/>
        </w:rPr>
        <w:t>少なくとも</w:t>
      </w:r>
      <w:r>
        <w:rPr>
          <w:rFonts w:hint="eastAsia"/>
        </w:rPr>
        <w:t>米ドルについては、証券取引の決済同様に、国内で完結する決済システムを早期に創設することを切に望みたい。</w:t>
      </w:r>
    </w:p>
    <w:p w14:paraId="104985FB" w14:textId="77777777" w:rsidR="00FD267A" w:rsidRDefault="00FD267A" w:rsidP="00FD267A">
      <w:pPr>
        <w:ind w:firstLine="240"/>
      </w:pPr>
    </w:p>
    <w:sectPr w:rsidR="00FD267A" w:rsidSect="00E81834">
      <w:headerReference w:type="even" r:id="rId9"/>
      <w:headerReference w:type="default" r:id="rId10"/>
      <w:footerReference w:type="even" r:id="rId11"/>
      <w:footerReference w:type="default" r:id="rId12"/>
      <w:headerReference w:type="first" r:id="rId13"/>
      <w:footerReference w:type="first" r:id="rId14"/>
      <w:pgSz w:w="11907" w:h="16840" w:code="9"/>
      <w:pgMar w:top="851" w:right="567" w:bottom="567" w:left="567" w:header="851" w:footer="992" w:gutter="0"/>
      <w:cols w:space="425"/>
      <w:docGrid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38FE" w14:textId="77777777" w:rsidR="0024696C" w:rsidRDefault="0024696C" w:rsidP="00652716">
      <w:pPr>
        <w:ind w:firstLine="240"/>
      </w:pPr>
      <w:r>
        <w:separator/>
      </w:r>
    </w:p>
  </w:endnote>
  <w:endnote w:type="continuationSeparator" w:id="0">
    <w:p w14:paraId="4DCB32BF" w14:textId="77777777" w:rsidR="0024696C" w:rsidRDefault="0024696C" w:rsidP="00652716">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648" w14:textId="77777777" w:rsidR="00652716" w:rsidRDefault="00652716">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21F6" w14:textId="77777777" w:rsidR="00652716" w:rsidRDefault="00652716">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3ED3" w14:textId="77777777" w:rsidR="00652716" w:rsidRDefault="00652716">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A61A" w14:textId="77777777" w:rsidR="0024696C" w:rsidRDefault="0024696C" w:rsidP="00652716">
      <w:pPr>
        <w:ind w:firstLine="240"/>
      </w:pPr>
      <w:r>
        <w:separator/>
      </w:r>
    </w:p>
  </w:footnote>
  <w:footnote w:type="continuationSeparator" w:id="0">
    <w:p w14:paraId="7BE9421D" w14:textId="77777777" w:rsidR="0024696C" w:rsidRDefault="0024696C" w:rsidP="00652716">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52E5" w14:textId="77777777" w:rsidR="00652716" w:rsidRDefault="00652716">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0F21" w14:textId="77777777" w:rsidR="00652716" w:rsidRDefault="00652716">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6E7B" w14:textId="77777777" w:rsidR="00652716" w:rsidRDefault="00652716">
    <w:pPr>
      <w:pStyle w:val="a3"/>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44"/>
    <w:rsid w:val="00051F02"/>
    <w:rsid w:val="0006732D"/>
    <w:rsid w:val="00094C4A"/>
    <w:rsid w:val="000B51CB"/>
    <w:rsid w:val="00101BFF"/>
    <w:rsid w:val="00143D83"/>
    <w:rsid w:val="00180409"/>
    <w:rsid w:val="001D3188"/>
    <w:rsid w:val="002361B5"/>
    <w:rsid w:val="0024696C"/>
    <w:rsid w:val="0033018D"/>
    <w:rsid w:val="003C6C7F"/>
    <w:rsid w:val="003E750F"/>
    <w:rsid w:val="005067FF"/>
    <w:rsid w:val="005263C7"/>
    <w:rsid w:val="00534755"/>
    <w:rsid w:val="00581CDB"/>
    <w:rsid w:val="005D6333"/>
    <w:rsid w:val="00606E44"/>
    <w:rsid w:val="00624B1D"/>
    <w:rsid w:val="006507BA"/>
    <w:rsid w:val="00652716"/>
    <w:rsid w:val="00656BC2"/>
    <w:rsid w:val="00666DED"/>
    <w:rsid w:val="006F22D8"/>
    <w:rsid w:val="006F6DE5"/>
    <w:rsid w:val="00764CB0"/>
    <w:rsid w:val="007A3AFA"/>
    <w:rsid w:val="007B3AB4"/>
    <w:rsid w:val="007B76D7"/>
    <w:rsid w:val="0083120F"/>
    <w:rsid w:val="008C08EF"/>
    <w:rsid w:val="008D25F0"/>
    <w:rsid w:val="008D49B4"/>
    <w:rsid w:val="008D752E"/>
    <w:rsid w:val="009B464D"/>
    <w:rsid w:val="00A213CA"/>
    <w:rsid w:val="00AA11D4"/>
    <w:rsid w:val="00AA7F05"/>
    <w:rsid w:val="00AD680A"/>
    <w:rsid w:val="00B67F02"/>
    <w:rsid w:val="00B826FD"/>
    <w:rsid w:val="00B857C5"/>
    <w:rsid w:val="00B857D2"/>
    <w:rsid w:val="00B86423"/>
    <w:rsid w:val="00BD45CD"/>
    <w:rsid w:val="00BE2652"/>
    <w:rsid w:val="00C2637C"/>
    <w:rsid w:val="00C31FBC"/>
    <w:rsid w:val="00D25F55"/>
    <w:rsid w:val="00D32B4E"/>
    <w:rsid w:val="00D450DE"/>
    <w:rsid w:val="00D75DDA"/>
    <w:rsid w:val="00D83D46"/>
    <w:rsid w:val="00D90561"/>
    <w:rsid w:val="00DD222A"/>
    <w:rsid w:val="00E006EA"/>
    <w:rsid w:val="00E10BF5"/>
    <w:rsid w:val="00E81834"/>
    <w:rsid w:val="00F13838"/>
    <w:rsid w:val="00FC5E8E"/>
    <w:rsid w:val="00FD197A"/>
    <w:rsid w:val="00FD267A"/>
    <w:rsid w:val="00FD699F"/>
    <w:rsid w:val="00FE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E40EF"/>
  <w15:chartTrackingRefBased/>
  <w15:docId w15:val="{28156E10-80A0-4E3E-9686-A5DC2AC5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3838"/>
    <w:pPr>
      <w:spacing w:before="100" w:beforeAutospacing="1" w:after="100" w:afterAutospacing="1"/>
      <w:ind w:firstLineChars="0" w:firstLine="0"/>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652716"/>
    <w:pPr>
      <w:tabs>
        <w:tab w:val="center" w:pos="4252"/>
        <w:tab w:val="right" w:pos="8504"/>
      </w:tabs>
      <w:snapToGrid w:val="0"/>
    </w:pPr>
  </w:style>
  <w:style w:type="character" w:customStyle="1" w:styleId="a4">
    <w:name w:val="ヘッダー (文字)"/>
    <w:basedOn w:val="a0"/>
    <w:link w:val="a3"/>
    <w:uiPriority w:val="99"/>
    <w:rsid w:val="00652716"/>
  </w:style>
  <w:style w:type="paragraph" w:styleId="a5">
    <w:name w:val="footer"/>
    <w:basedOn w:val="a"/>
    <w:link w:val="a6"/>
    <w:uiPriority w:val="99"/>
    <w:unhideWhenUsed/>
    <w:rsid w:val="00652716"/>
    <w:pPr>
      <w:tabs>
        <w:tab w:val="center" w:pos="4252"/>
        <w:tab w:val="right" w:pos="8504"/>
      </w:tabs>
      <w:snapToGrid w:val="0"/>
    </w:pPr>
  </w:style>
  <w:style w:type="character" w:customStyle="1" w:styleId="a6">
    <w:name w:val="フッター (文字)"/>
    <w:basedOn w:val="a0"/>
    <w:link w:val="a5"/>
    <w:uiPriority w:val="99"/>
    <w:rsid w:val="0065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6517">
      <w:bodyDiv w:val="1"/>
      <w:marLeft w:val="0"/>
      <w:marRight w:val="0"/>
      <w:marTop w:val="0"/>
      <w:marBottom w:val="0"/>
      <w:divBdr>
        <w:top w:val="none" w:sz="0" w:space="0" w:color="auto"/>
        <w:left w:val="none" w:sz="0" w:space="0" w:color="auto"/>
        <w:bottom w:val="none" w:sz="0" w:space="0" w:color="auto"/>
        <w:right w:val="none" w:sz="0" w:space="0" w:color="auto"/>
      </w:divBdr>
    </w:div>
    <w:div w:id="19841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6402</TotalTime>
  <Pages>4</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陽二</dc:creator>
  <cp:keywords/>
  <dc:description/>
  <cp:lastModifiedBy>岡部 陽二</cp:lastModifiedBy>
  <cp:revision>35</cp:revision>
  <cp:lastPrinted>2021-09-17T23:57:00Z</cp:lastPrinted>
  <dcterms:created xsi:type="dcterms:W3CDTF">2021-09-11T00:12:00Z</dcterms:created>
  <dcterms:modified xsi:type="dcterms:W3CDTF">2021-09-18T00:41:00Z</dcterms:modified>
</cp:coreProperties>
</file>